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EF119E" w:rsidP="000F4FD2">
            <w:pPr>
              <w:pStyle w:val="Sidhuvud"/>
              <w:spacing w:after="360"/>
            </w:pPr>
            <w:r w:rsidRPr="00101F92">
              <w:rPr>
                <w:noProof/>
              </w:rPr>
              <w:drawing>
                <wp:inline distT="0" distB="0" distL="0" distR="0" wp14:anchorId="221C63B0" wp14:editId="36291D25">
                  <wp:extent cx="2015490" cy="39878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490" cy="398780"/>
                          </a:xfrm>
                          <a:prstGeom prst="rect">
                            <a:avLst/>
                          </a:prstGeom>
                          <a:noFill/>
                          <a:ln>
                            <a:noFill/>
                          </a:ln>
                        </pic:spPr>
                      </pic:pic>
                    </a:graphicData>
                  </a:graphic>
                </wp:inline>
              </w:drawing>
            </w:r>
          </w:p>
          <w:p w:rsidR="00375E69" w:rsidRPr="00D818AD" w:rsidRDefault="00D818AD" w:rsidP="00A80BB2">
            <w:pPr>
              <w:pStyle w:val="Sidhuvud"/>
              <w:rPr>
                <w:color w:val="FF0000"/>
                <w:sz w:val="24"/>
                <w:szCs w:val="24"/>
              </w:rPr>
            </w:pPr>
            <w:r>
              <w:rPr>
                <w:color w:val="FF0000"/>
                <w:sz w:val="24"/>
                <w:szCs w:val="24"/>
              </w:rPr>
              <w:t>Alternativt förslag</w:t>
            </w: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05420F">
              <w:rPr>
                <w:rStyle w:val="Sidnummer"/>
                <w:noProof/>
              </w:rPr>
              <w:t>1</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6440DB" w:rsidP="004F2690">
            <w:pPr>
              <w:pStyle w:val="Sidhuvud"/>
            </w:pPr>
            <w:r>
              <w:t>2023-03-13</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05420F" w:rsidRPr="00DD3F06">
              <w:t>KS</w:t>
            </w:r>
            <w:r w:rsidR="0005420F">
              <w:t xml:space="preserve"> </w:t>
            </w:r>
            <w:proofErr w:type="gramStart"/>
            <w:r w:rsidR="0005420F" w:rsidRPr="00DD3F06">
              <w:t>2023-00110</w:t>
            </w:r>
            <w:proofErr w:type="gramEnd"/>
            <w:r w:rsidR="00401ABF">
              <w:t xml:space="preserve"> </w:t>
            </w:r>
            <w:r w:rsidR="0005420F" w:rsidRPr="00DD3F06">
              <w:t>2.4.2.0</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F10101" w:rsidRDefault="0005420F" w:rsidP="00755107">
      <w:pPr>
        <w:pStyle w:val="Rubrik1"/>
      </w:pPr>
      <w:r w:rsidRPr="00DD3F06">
        <w:t>Anslagsbegäran Viskans park 2023</w:t>
      </w:r>
    </w:p>
    <w:p w:rsidR="00755107" w:rsidRPr="00C728C9" w:rsidRDefault="0005420F" w:rsidP="00755107">
      <w:pPr>
        <w:pStyle w:val="Rubrik2"/>
      </w:pPr>
      <w:r>
        <w:rPr>
          <w:rFonts w:cs="Arial"/>
          <w:szCs w:val="24"/>
        </w:rPr>
        <w:t>Kommunstyrelsen</w:t>
      </w:r>
      <w:r w:rsidR="001B79D2">
        <w:rPr>
          <w:rFonts w:cs="Arial"/>
          <w:szCs w:val="24"/>
        </w:rPr>
        <w:t xml:space="preserve">s </w:t>
      </w:r>
      <w:r w:rsidR="00755107">
        <w:rPr>
          <w:rFonts w:cs="Arial"/>
          <w:szCs w:val="24"/>
        </w:rPr>
        <w:t>beslut</w:t>
      </w:r>
    </w:p>
    <w:sdt>
      <w:sdtPr>
        <w:alias w:val="Beslut"/>
        <w:tag w:val="Beslut"/>
        <w:id w:val="504939301"/>
        <w:placeholder>
          <w:docPart w:val="CE7C7B6A81BA4B5BBFE8E8C39921BF05"/>
        </w:placeholder>
      </w:sdtPr>
      <w:sdtEndPr/>
      <w:sdtContent>
        <w:p w:rsidR="00D35220" w:rsidRDefault="00EC5E90" w:rsidP="00375E69">
          <w:pPr>
            <w:spacing w:after="120"/>
          </w:pPr>
          <w:r>
            <w:t xml:space="preserve">Tekniska nämnden beviljas ett investeringsanslag på </w:t>
          </w:r>
          <w:r w:rsidR="00D818AD" w:rsidRPr="00D818AD">
            <w:rPr>
              <w:color w:val="FF0000"/>
            </w:rPr>
            <w:t>4</w:t>
          </w:r>
          <w:r w:rsidRPr="00D818AD">
            <w:rPr>
              <w:color w:val="FF0000"/>
            </w:rPr>
            <w:t>,0 mnkr</w:t>
          </w:r>
          <w:r w:rsidR="00FC6242" w:rsidRPr="00D818AD">
            <w:rPr>
              <w:color w:val="FF0000"/>
            </w:rPr>
            <w:t xml:space="preserve"> </w:t>
          </w:r>
          <w:r w:rsidR="00FC6242">
            <w:t xml:space="preserve">för Viskans park budgetåret 2023. Medlen finns avsatta i kommunens investeringsplan med </w:t>
          </w:r>
          <w:r>
            <w:t>sammantaget 90,0 mnkr</w:t>
          </w:r>
          <w:r w:rsidR="00FC6242">
            <w:t xml:space="preserve"> </w:t>
          </w:r>
          <w:r w:rsidRPr="00EC5E90">
            <w:t xml:space="preserve">för projektet </w:t>
          </w:r>
          <w:r w:rsidR="00FC6242">
            <w:t>Viskans park t.o.m. 2027.</w:t>
          </w:r>
        </w:p>
      </w:sdtContent>
    </w:sdt>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E157CA" w:rsidRDefault="006440DB" w:rsidP="00E157CA">
      <w:pPr>
        <w:pStyle w:val="Brdtext"/>
        <w:rPr>
          <w:vanish/>
          <w:color w:val="808080"/>
        </w:rPr>
      </w:pPr>
      <w:r w:rsidRPr="00D1081C">
        <w:rPr>
          <w:vanish/>
          <w:color w:val="808080"/>
        </w:rPr>
        <w:t xml:space="preserve"> </w:t>
      </w:r>
      <w:r w:rsidR="00E157CA"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C5E90" w:rsidRPr="00EC5E90" w:rsidRDefault="00E157CA" w:rsidP="00EC5E90">
      <w:pPr>
        <w:pStyle w:val="Rubrik2"/>
      </w:pPr>
      <w:r>
        <w:t>Ärendet i sin helhet</w:t>
      </w:r>
    </w:p>
    <w:sdt>
      <w:sdtPr>
        <w:alias w:val="Komplettering"/>
        <w:tag w:val="Komplettering"/>
        <w:id w:val="66229024"/>
        <w:placeholder>
          <w:docPart w:val="C162504A719E48F98DA72DC38F42B26B"/>
        </w:placeholder>
      </w:sdtPr>
      <w:sdtEndPr/>
      <w:sdtContent>
        <w:p w:rsidR="00EC5E90" w:rsidRPr="00EC5E90" w:rsidRDefault="00EC5E90" w:rsidP="00EC5E90">
          <w:pPr>
            <w:spacing w:after="120" w:line="240" w:lineRule="auto"/>
          </w:pPr>
          <w:r w:rsidRPr="00EC5E90">
            <w:t xml:space="preserve">Projektet Viskans park planeras och </w:t>
          </w:r>
          <w:r w:rsidR="009C6AC4">
            <w:t>verkställs mot en investeringsram</w:t>
          </w:r>
          <w:r w:rsidR="00FC6242">
            <w:t xml:space="preserve"> om 90 mnkr som löper över 6</w:t>
          </w:r>
          <w:r w:rsidRPr="00EC5E90">
            <w:t xml:space="preserve"> år</w:t>
          </w:r>
          <w:r w:rsidR="00FC6242">
            <w:t xml:space="preserve"> med start 2022 till avslut 2027</w:t>
          </w:r>
          <w:r w:rsidRPr="00EC5E90">
            <w:t>. För varje nytt år eller vid behov framställs en anslagsbegäran frå</w:t>
          </w:r>
          <w:r w:rsidR="00FC6242">
            <w:t xml:space="preserve">n Tekniska nämnden med bedömt investeringsbehov respektive år. Nedan redovisas aktuell plan </w:t>
          </w:r>
        </w:p>
        <w:p w:rsidR="00EC5E90" w:rsidRPr="00EC5E90" w:rsidRDefault="00EC5E90" w:rsidP="00EC5E90">
          <w:pPr>
            <w:spacing w:after="120" w:line="240" w:lineRule="auto"/>
          </w:pPr>
        </w:p>
        <w:tbl>
          <w:tblPr>
            <w:tblStyle w:val="Tabellrutnt1"/>
            <w:tblW w:w="7225" w:type="dxa"/>
            <w:tblLook w:val="04A0" w:firstRow="1" w:lastRow="0" w:firstColumn="1" w:lastColumn="0" w:noHBand="0" w:noVBand="1"/>
          </w:tblPr>
          <w:tblGrid>
            <w:gridCol w:w="943"/>
            <w:gridCol w:w="1096"/>
            <w:gridCol w:w="947"/>
            <w:gridCol w:w="879"/>
            <w:gridCol w:w="808"/>
            <w:gridCol w:w="851"/>
            <w:gridCol w:w="850"/>
            <w:gridCol w:w="851"/>
          </w:tblGrid>
          <w:tr w:rsidR="00FC6242" w:rsidRPr="00EC5E90" w:rsidTr="00FC6242">
            <w:tc>
              <w:tcPr>
                <w:tcW w:w="943" w:type="dxa"/>
              </w:tcPr>
              <w:p w:rsidR="00FC6242" w:rsidRPr="00EC5E90" w:rsidRDefault="00FC6242" w:rsidP="00EC5E90">
                <w:pPr>
                  <w:spacing w:line="240" w:lineRule="auto"/>
                </w:pPr>
                <w:r w:rsidRPr="00EC5E90">
                  <w:t>Projekt</w:t>
                </w:r>
              </w:p>
              <w:p w:rsidR="00FC6242" w:rsidRPr="00EC5E90" w:rsidRDefault="00FC6242" w:rsidP="00EC5E90">
                <w:pPr>
                  <w:spacing w:line="240" w:lineRule="auto"/>
                </w:pPr>
              </w:p>
            </w:tc>
            <w:tc>
              <w:tcPr>
                <w:tcW w:w="1096" w:type="dxa"/>
              </w:tcPr>
              <w:p w:rsidR="00FC6242" w:rsidRPr="00EC5E90" w:rsidRDefault="00FC6242" w:rsidP="00EC5E90">
                <w:pPr>
                  <w:spacing w:line="240" w:lineRule="auto"/>
                </w:pPr>
                <w:r w:rsidRPr="00EC5E90">
                  <w:t>Godkänd utgift</w:t>
                </w:r>
                <w:r>
                  <w:t xml:space="preserve"> mnkr</w:t>
                </w:r>
              </w:p>
              <w:p w:rsidR="00FC6242" w:rsidRPr="00EC5E90" w:rsidRDefault="00FC6242" w:rsidP="00EC5E90">
                <w:pPr>
                  <w:spacing w:line="240" w:lineRule="auto"/>
                </w:pPr>
              </w:p>
            </w:tc>
            <w:tc>
              <w:tcPr>
                <w:tcW w:w="947" w:type="dxa"/>
              </w:tcPr>
              <w:p w:rsidR="00FC6242" w:rsidRPr="00EC5E90" w:rsidRDefault="00FC6242" w:rsidP="00EC5E90">
                <w:pPr>
                  <w:spacing w:line="240" w:lineRule="auto"/>
                </w:pPr>
                <w:r w:rsidRPr="00EC5E90">
                  <w:t>Budget 2022</w:t>
                </w:r>
              </w:p>
              <w:p w:rsidR="00FC6242" w:rsidRPr="00EC5E90" w:rsidRDefault="00FC6242" w:rsidP="00EC5E90">
                <w:pPr>
                  <w:spacing w:line="240" w:lineRule="auto"/>
                </w:pPr>
              </w:p>
            </w:tc>
            <w:tc>
              <w:tcPr>
                <w:tcW w:w="879" w:type="dxa"/>
              </w:tcPr>
              <w:p w:rsidR="00FC6242" w:rsidRPr="00EC5E90" w:rsidRDefault="00FC6242" w:rsidP="00EC5E90">
                <w:pPr>
                  <w:spacing w:line="240" w:lineRule="auto"/>
                </w:pPr>
                <w:r w:rsidRPr="00EC5E90">
                  <w:t>Budget 2023</w:t>
                </w:r>
              </w:p>
            </w:tc>
            <w:tc>
              <w:tcPr>
                <w:tcW w:w="808" w:type="dxa"/>
              </w:tcPr>
              <w:p w:rsidR="00FC6242" w:rsidRPr="00EC5E90" w:rsidRDefault="00FC6242" w:rsidP="00EC5E90">
                <w:pPr>
                  <w:spacing w:line="240" w:lineRule="auto"/>
                </w:pPr>
                <w:r w:rsidRPr="00EC5E90">
                  <w:t>Plan 2024</w:t>
                </w:r>
              </w:p>
              <w:p w:rsidR="00FC6242" w:rsidRPr="00EC5E90" w:rsidRDefault="00FC6242" w:rsidP="00EC5E90">
                <w:pPr>
                  <w:spacing w:line="240" w:lineRule="auto"/>
                </w:pPr>
              </w:p>
            </w:tc>
            <w:tc>
              <w:tcPr>
                <w:tcW w:w="851" w:type="dxa"/>
              </w:tcPr>
              <w:p w:rsidR="00FC6242" w:rsidRPr="00EC5E90" w:rsidRDefault="00FC6242" w:rsidP="00EC5E90">
                <w:pPr>
                  <w:spacing w:line="240" w:lineRule="auto"/>
                </w:pPr>
                <w:r w:rsidRPr="00EC5E90">
                  <w:t>Plan 2025</w:t>
                </w:r>
              </w:p>
              <w:p w:rsidR="00FC6242" w:rsidRPr="00EC5E90" w:rsidRDefault="00FC6242" w:rsidP="00EC5E90">
                <w:pPr>
                  <w:spacing w:line="240" w:lineRule="auto"/>
                </w:pPr>
              </w:p>
            </w:tc>
            <w:tc>
              <w:tcPr>
                <w:tcW w:w="850" w:type="dxa"/>
              </w:tcPr>
              <w:p w:rsidR="00FC6242" w:rsidRPr="00EC5E90" w:rsidRDefault="00FC6242" w:rsidP="00EC5E90">
                <w:pPr>
                  <w:spacing w:line="240" w:lineRule="auto"/>
                </w:pPr>
                <w:r w:rsidRPr="00EC5E90">
                  <w:t>Plan 2026</w:t>
                </w:r>
              </w:p>
              <w:p w:rsidR="00FC6242" w:rsidRPr="00EC5E90" w:rsidRDefault="00FC6242" w:rsidP="00EC5E90">
                <w:pPr>
                  <w:spacing w:line="240" w:lineRule="auto"/>
                </w:pPr>
              </w:p>
            </w:tc>
            <w:tc>
              <w:tcPr>
                <w:tcW w:w="851" w:type="dxa"/>
              </w:tcPr>
              <w:p w:rsidR="00FC6242" w:rsidRPr="00EC5E90" w:rsidRDefault="00FC6242" w:rsidP="00EC5E90">
                <w:pPr>
                  <w:spacing w:line="240" w:lineRule="auto"/>
                </w:pPr>
                <w:r w:rsidRPr="00EC5E90">
                  <w:t>Plan 2027</w:t>
                </w:r>
              </w:p>
              <w:p w:rsidR="00FC6242" w:rsidRPr="00EC5E90" w:rsidRDefault="00FC6242" w:rsidP="00EC5E90">
                <w:pPr>
                  <w:spacing w:line="240" w:lineRule="auto"/>
                </w:pPr>
              </w:p>
            </w:tc>
          </w:tr>
          <w:tr w:rsidR="00FC6242" w:rsidRPr="00EC5E90" w:rsidTr="00FC6242">
            <w:tc>
              <w:tcPr>
                <w:tcW w:w="943" w:type="dxa"/>
              </w:tcPr>
              <w:p w:rsidR="00FC6242" w:rsidRPr="00EC5E90" w:rsidRDefault="00FC6242" w:rsidP="00EC5E90">
                <w:pPr>
                  <w:spacing w:line="240" w:lineRule="auto"/>
                </w:pPr>
                <w:r w:rsidRPr="00EC5E90">
                  <w:t>Viskans park</w:t>
                </w:r>
              </w:p>
              <w:p w:rsidR="00FC6242" w:rsidRPr="00EC5E90" w:rsidRDefault="00FC6242" w:rsidP="00EC5E90">
                <w:pPr>
                  <w:spacing w:line="240" w:lineRule="auto"/>
                </w:pPr>
              </w:p>
            </w:tc>
            <w:tc>
              <w:tcPr>
                <w:tcW w:w="1096" w:type="dxa"/>
              </w:tcPr>
              <w:p w:rsidR="00FC6242" w:rsidRPr="00FC6242" w:rsidRDefault="00FC6242" w:rsidP="00EC5E90">
                <w:pPr>
                  <w:spacing w:line="240" w:lineRule="auto"/>
                  <w:rPr>
                    <w:sz w:val="22"/>
                    <w:szCs w:val="22"/>
                  </w:rPr>
                </w:pPr>
                <w:r w:rsidRPr="00FC6242">
                  <w:rPr>
                    <w:sz w:val="22"/>
                    <w:szCs w:val="22"/>
                  </w:rPr>
                  <w:t>90 000</w:t>
                </w:r>
              </w:p>
              <w:p w:rsidR="00FC6242" w:rsidRPr="00FC6242" w:rsidRDefault="00FC6242" w:rsidP="00EC5E90">
                <w:pPr>
                  <w:spacing w:line="240" w:lineRule="auto"/>
                  <w:rPr>
                    <w:sz w:val="22"/>
                    <w:szCs w:val="22"/>
                  </w:rPr>
                </w:pPr>
              </w:p>
            </w:tc>
            <w:tc>
              <w:tcPr>
                <w:tcW w:w="947" w:type="dxa"/>
              </w:tcPr>
              <w:p w:rsidR="00FC6242" w:rsidRPr="00FC6242" w:rsidRDefault="00FC6242" w:rsidP="00EC5E90">
                <w:pPr>
                  <w:spacing w:line="240" w:lineRule="auto"/>
                  <w:rPr>
                    <w:sz w:val="22"/>
                    <w:szCs w:val="22"/>
                  </w:rPr>
                </w:pPr>
                <w:r w:rsidRPr="00FC6242">
                  <w:rPr>
                    <w:sz w:val="22"/>
                    <w:szCs w:val="22"/>
                  </w:rPr>
                  <w:t>5 000</w:t>
                </w:r>
              </w:p>
              <w:p w:rsidR="00FC6242" w:rsidRPr="00FC6242" w:rsidRDefault="00FC6242" w:rsidP="00EC5E90">
                <w:pPr>
                  <w:spacing w:line="240" w:lineRule="auto"/>
                  <w:rPr>
                    <w:sz w:val="22"/>
                    <w:szCs w:val="22"/>
                  </w:rPr>
                </w:pPr>
              </w:p>
            </w:tc>
            <w:tc>
              <w:tcPr>
                <w:tcW w:w="879" w:type="dxa"/>
              </w:tcPr>
              <w:p w:rsidR="00FC6242" w:rsidRPr="00D818AD" w:rsidRDefault="00D818AD" w:rsidP="00EC5E90">
                <w:pPr>
                  <w:spacing w:line="240" w:lineRule="auto"/>
                  <w:rPr>
                    <w:color w:val="FF0000"/>
                    <w:sz w:val="22"/>
                    <w:szCs w:val="22"/>
                  </w:rPr>
                </w:pPr>
                <w:r w:rsidRPr="00D818AD">
                  <w:rPr>
                    <w:color w:val="FF0000"/>
                    <w:sz w:val="22"/>
                    <w:szCs w:val="22"/>
                  </w:rPr>
                  <w:t>4</w:t>
                </w:r>
                <w:r w:rsidR="00FC6242" w:rsidRPr="00D818AD">
                  <w:rPr>
                    <w:color w:val="FF0000"/>
                    <w:sz w:val="22"/>
                    <w:szCs w:val="22"/>
                  </w:rPr>
                  <w:t xml:space="preserve"> 000</w:t>
                </w:r>
              </w:p>
              <w:p w:rsidR="00FC6242" w:rsidRPr="00FC6242" w:rsidRDefault="00FC6242" w:rsidP="00EC5E90">
                <w:pPr>
                  <w:spacing w:line="240" w:lineRule="auto"/>
                  <w:rPr>
                    <w:sz w:val="22"/>
                    <w:szCs w:val="22"/>
                  </w:rPr>
                </w:pPr>
              </w:p>
            </w:tc>
            <w:tc>
              <w:tcPr>
                <w:tcW w:w="808" w:type="dxa"/>
              </w:tcPr>
              <w:p w:rsidR="00FC6242" w:rsidRPr="00D818AD" w:rsidRDefault="00D818AD" w:rsidP="00EC5E90">
                <w:pPr>
                  <w:spacing w:line="240" w:lineRule="auto"/>
                  <w:rPr>
                    <w:color w:val="FF0000"/>
                    <w:sz w:val="22"/>
                    <w:szCs w:val="22"/>
                  </w:rPr>
                </w:pPr>
                <w:r w:rsidRPr="00D818AD">
                  <w:rPr>
                    <w:color w:val="FF0000"/>
                    <w:sz w:val="22"/>
                    <w:szCs w:val="22"/>
                  </w:rPr>
                  <w:t>20</w:t>
                </w:r>
                <w:r w:rsidR="00FC6242" w:rsidRPr="00D818AD">
                  <w:rPr>
                    <w:color w:val="FF0000"/>
                    <w:sz w:val="22"/>
                    <w:szCs w:val="22"/>
                  </w:rPr>
                  <w:t xml:space="preserve"> 000</w:t>
                </w:r>
              </w:p>
              <w:p w:rsidR="00FC6242" w:rsidRPr="00FC6242" w:rsidRDefault="00FC6242" w:rsidP="00EC5E90">
                <w:pPr>
                  <w:spacing w:line="240" w:lineRule="auto"/>
                  <w:rPr>
                    <w:sz w:val="22"/>
                    <w:szCs w:val="22"/>
                  </w:rPr>
                </w:pPr>
              </w:p>
            </w:tc>
            <w:tc>
              <w:tcPr>
                <w:tcW w:w="851" w:type="dxa"/>
              </w:tcPr>
              <w:p w:rsidR="00FC6242" w:rsidRPr="00D818AD" w:rsidRDefault="00D818AD" w:rsidP="00EC5E90">
                <w:pPr>
                  <w:spacing w:line="240" w:lineRule="auto"/>
                  <w:rPr>
                    <w:color w:val="FF0000"/>
                    <w:sz w:val="22"/>
                    <w:szCs w:val="22"/>
                  </w:rPr>
                </w:pPr>
                <w:r w:rsidRPr="00D818AD">
                  <w:rPr>
                    <w:color w:val="FF0000"/>
                    <w:sz w:val="22"/>
                    <w:szCs w:val="22"/>
                  </w:rPr>
                  <w:t>21</w:t>
                </w:r>
                <w:r w:rsidR="00FC6242" w:rsidRPr="00D818AD">
                  <w:rPr>
                    <w:color w:val="FF0000"/>
                    <w:sz w:val="22"/>
                    <w:szCs w:val="22"/>
                  </w:rPr>
                  <w:t xml:space="preserve"> 000</w:t>
                </w:r>
              </w:p>
              <w:p w:rsidR="00FC6242" w:rsidRPr="00FC6242" w:rsidRDefault="00FC6242" w:rsidP="00EC5E90">
                <w:pPr>
                  <w:spacing w:line="240" w:lineRule="auto"/>
                  <w:rPr>
                    <w:sz w:val="22"/>
                    <w:szCs w:val="22"/>
                  </w:rPr>
                </w:pPr>
              </w:p>
            </w:tc>
            <w:tc>
              <w:tcPr>
                <w:tcW w:w="850" w:type="dxa"/>
              </w:tcPr>
              <w:p w:rsidR="00FC6242" w:rsidRPr="00FC6242" w:rsidRDefault="00FC6242" w:rsidP="00EC5E90">
                <w:pPr>
                  <w:spacing w:line="240" w:lineRule="auto"/>
                  <w:rPr>
                    <w:sz w:val="22"/>
                    <w:szCs w:val="22"/>
                  </w:rPr>
                </w:pPr>
                <w:r w:rsidRPr="00FC6242">
                  <w:rPr>
                    <w:sz w:val="22"/>
                    <w:szCs w:val="22"/>
                  </w:rPr>
                  <w:t>30 000</w:t>
                </w:r>
              </w:p>
              <w:p w:rsidR="00FC6242" w:rsidRPr="00FC6242" w:rsidRDefault="00FC6242" w:rsidP="00EC5E90">
                <w:pPr>
                  <w:spacing w:line="240" w:lineRule="auto"/>
                  <w:rPr>
                    <w:sz w:val="22"/>
                    <w:szCs w:val="22"/>
                  </w:rPr>
                </w:pPr>
              </w:p>
            </w:tc>
            <w:tc>
              <w:tcPr>
                <w:tcW w:w="851" w:type="dxa"/>
              </w:tcPr>
              <w:p w:rsidR="00FC6242" w:rsidRPr="00FC6242" w:rsidRDefault="00FC6242" w:rsidP="00EC5E90">
                <w:pPr>
                  <w:spacing w:line="240" w:lineRule="auto"/>
                  <w:rPr>
                    <w:sz w:val="22"/>
                    <w:szCs w:val="22"/>
                  </w:rPr>
                </w:pPr>
                <w:r w:rsidRPr="00FC6242">
                  <w:rPr>
                    <w:sz w:val="22"/>
                    <w:szCs w:val="22"/>
                  </w:rPr>
                  <w:t>10 000</w:t>
                </w:r>
              </w:p>
              <w:p w:rsidR="00FC6242" w:rsidRPr="00FC6242" w:rsidRDefault="00FC6242" w:rsidP="00EC5E90">
                <w:pPr>
                  <w:spacing w:line="240" w:lineRule="auto"/>
                  <w:rPr>
                    <w:sz w:val="22"/>
                    <w:szCs w:val="22"/>
                  </w:rPr>
                </w:pPr>
              </w:p>
            </w:tc>
          </w:tr>
        </w:tbl>
        <w:p w:rsidR="00EC5E90" w:rsidRPr="00EC5E90" w:rsidRDefault="00122484" w:rsidP="00EC5E90">
          <w:pPr>
            <w:spacing w:after="120" w:line="240" w:lineRule="auto"/>
          </w:pPr>
        </w:p>
      </w:sdtContent>
    </w:sdt>
    <w:p w:rsidR="00EC5E90" w:rsidRPr="00E62C2A" w:rsidRDefault="0050158D" w:rsidP="00EC5E90">
      <w:pPr>
        <w:shd w:val="clear" w:color="auto" w:fill="FFFFFF"/>
        <w:spacing w:before="100" w:beforeAutospacing="1" w:after="100" w:afterAutospacing="1"/>
        <w:rPr>
          <w:rFonts w:cs="Segoe UI"/>
          <w:szCs w:val="24"/>
          <w:shd w:val="clear" w:color="auto" w:fill="FFFFFF"/>
        </w:rPr>
      </w:pPr>
      <w:r>
        <w:rPr>
          <w:rFonts w:cs="Segoe UI"/>
          <w:szCs w:val="24"/>
          <w:shd w:val="clear" w:color="auto" w:fill="FFFFFF"/>
        </w:rPr>
        <w:t>Tekniska nämnden beskriver</w:t>
      </w:r>
      <w:r w:rsidR="00EC5E90">
        <w:rPr>
          <w:rFonts w:cs="Segoe UI"/>
          <w:szCs w:val="24"/>
          <w:shd w:val="clear" w:color="auto" w:fill="FFFFFF"/>
        </w:rPr>
        <w:t xml:space="preserve"> att f</w:t>
      </w:r>
      <w:r w:rsidR="00EC5E90" w:rsidRPr="00E62C2A">
        <w:rPr>
          <w:rFonts w:cs="Segoe UI"/>
          <w:szCs w:val="24"/>
          <w:shd w:val="clear" w:color="auto" w:fill="FFFFFF"/>
        </w:rPr>
        <w:t>öljande platser/insatser prioriteras från och med juni 2022 fram till och årsskiftet 2023/2024.</w:t>
      </w:r>
    </w:p>
    <w:p w:rsidR="00EC5E90" w:rsidRPr="00E62C2A" w:rsidRDefault="00EC5E90" w:rsidP="00EC5E90">
      <w:pPr>
        <w:numPr>
          <w:ilvl w:val="0"/>
          <w:numId w:val="13"/>
        </w:numPr>
        <w:shd w:val="clear" w:color="auto" w:fill="FFFFFF"/>
        <w:spacing w:before="100" w:beforeAutospacing="1" w:after="100" w:afterAutospacing="1"/>
        <w:rPr>
          <w:rFonts w:cs="Segoe UI"/>
          <w:szCs w:val="24"/>
          <w:shd w:val="clear" w:color="auto" w:fill="FFFFFF"/>
        </w:rPr>
      </w:pPr>
      <w:r w:rsidRPr="00E62C2A">
        <w:rPr>
          <w:rFonts w:cs="Segoe UI"/>
          <w:szCs w:val="24"/>
          <w:shd w:val="clear" w:color="auto" w:fill="FFFFFF"/>
        </w:rPr>
        <w:t>Mittpunkten, genom en öppen gestaltningstävling vann Nyréns arkitekter att gestalta och projektera delar av Mittpunkten genom Stadsparken. Under våren 2023 kommer två av totalt fyra etapper att gestaltas, projekteras och börja byggas. </w:t>
      </w:r>
    </w:p>
    <w:p w:rsidR="00EC5E90" w:rsidRPr="00E62C2A" w:rsidRDefault="00EC5E90" w:rsidP="00EC5E90">
      <w:pPr>
        <w:numPr>
          <w:ilvl w:val="0"/>
          <w:numId w:val="13"/>
        </w:numPr>
        <w:shd w:val="clear" w:color="auto" w:fill="FFFFFF"/>
        <w:spacing w:before="100" w:beforeAutospacing="1" w:after="100" w:afterAutospacing="1"/>
        <w:rPr>
          <w:rFonts w:cs="Segoe UI"/>
          <w:szCs w:val="24"/>
          <w:shd w:val="clear" w:color="auto" w:fill="FFFFFF"/>
        </w:rPr>
      </w:pPr>
      <w:r w:rsidRPr="00E62C2A">
        <w:rPr>
          <w:rFonts w:cs="Segoe UI"/>
          <w:szCs w:val="24"/>
          <w:shd w:val="clear" w:color="auto" w:fill="FFFFFF"/>
        </w:rPr>
        <w:t>Västerängsgatan, utveckling av ny entré till Rya Åsar samt kopplingen mellan naturreservatet och Viskans park.</w:t>
      </w:r>
    </w:p>
    <w:p w:rsidR="00EC5E90" w:rsidRPr="00E62C2A" w:rsidRDefault="00EC5E90" w:rsidP="00EC5E90">
      <w:pPr>
        <w:numPr>
          <w:ilvl w:val="0"/>
          <w:numId w:val="13"/>
        </w:numPr>
        <w:shd w:val="clear" w:color="auto" w:fill="FFFFFF"/>
        <w:spacing w:before="100" w:beforeAutospacing="1" w:after="100" w:afterAutospacing="1"/>
        <w:rPr>
          <w:rFonts w:cs="Segoe UI"/>
          <w:szCs w:val="24"/>
          <w:shd w:val="clear" w:color="auto" w:fill="FFFFFF"/>
        </w:rPr>
      </w:pPr>
      <w:r w:rsidRPr="00E62C2A">
        <w:rPr>
          <w:rFonts w:cs="Segoe UI"/>
          <w:szCs w:val="24"/>
          <w:shd w:val="clear" w:color="auto" w:fill="FFFFFF"/>
        </w:rPr>
        <w:t>Evedalsgatan, i samband med att byggnation av ny ishall startar kommer gatan att omdanas med focus på oskyddade trafikanter. Förbättrad koppling till Viskans strand och en översyn av möjligheterna att skapa en eller flera torg i anslutning till ishallen kommer också att genomföras under 2023.</w:t>
      </w:r>
    </w:p>
    <w:p w:rsidR="00EC5E90" w:rsidRPr="00E62C2A" w:rsidRDefault="00EC5E90" w:rsidP="00EC5E90">
      <w:pPr>
        <w:numPr>
          <w:ilvl w:val="0"/>
          <w:numId w:val="13"/>
        </w:numPr>
        <w:shd w:val="clear" w:color="auto" w:fill="FFFFFF"/>
        <w:spacing w:before="100" w:beforeAutospacing="1" w:after="100" w:afterAutospacing="1"/>
        <w:rPr>
          <w:rFonts w:cs="Segoe UI"/>
          <w:szCs w:val="24"/>
          <w:shd w:val="clear" w:color="auto" w:fill="FFFFFF"/>
        </w:rPr>
      </w:pPr>
      <w:r w:rsidRPr="00E62C2A">
        <w:rPr>
          <w:rFonts w:cs="Segoe UI"/>
          <w:szCs w:val="24"/>
          <w:shd w:val="clear" w:color="auto" w:fill="FFFFFF"/>
        </w:rPr>
        <w:t>Repslagaregatan, gestaltning och utformning i ett tidigt respektive sent skede. Uppförande av tillfälliga parkelement och trafiklösningar.</w:t>
      </w:r>
    </w:p>
    <w:p w:rsidR="00EC5E90" w:rsidRPr="00E62C2A" w:rsidRDefault="00EC5E90" w:rsidP="00EC5E90">
      <w:pPr>
        <w:numPr>
          <w:ilvl w:val="0"/>
          <w:numId w:val="13"/>
        </w:numPr>
        <w:shd w:val="clear" w:color="auto" w:fill="FFFFFF"/>
        <w:spacing w:before="100" w:beforeAutospacing="1" w:after="100" w:afterAutospacing="1"/>
        <w:rPr>
          <w:rFonts w:cs="Segoe UI"/>
          <w:szCs w:val="24"/>
          <w:shd w:val="clear" w:color="auto" w:fill="FFFFFF"/>
        </w:rPr>
      </w:pPr>
      <w:r w:rsidRPr="00E62C2A">
        <w:rPr>
          <w:rFonts w:cs="Segoe UI"/>
          <w:szCs w:val="24"/>
          <w:shd w:val="clear" w:color="auto" w:fill="FFFFFF"/>
        </w:rPr>
        <w:lastRenderedPageBreak/>
        <w:t>Viskaslänten, gestaltning har inletts under 2022 med tungpunkt på en skötselplan för att "ta fram" parkens karaktär ur det urbana skogsområdet. </w:t>
      </w:r>
    </w:p>
    <w:p w:rsidR="00EC5E90" w:rsidRPr="00EC5E90" w:rsidRDefault="00EC5E90" w:rsidP="00FC6242">
      <w:pPr>
        <w:pStyle w:val="Liststycke"/>
        <w:numPr>
          <w:ilvl w:val="0"/>
          <w:numId w:val="13"/>
        </w:numPr>
        <w:spacing w:after="120" w:line="240" w:lineRule="auto"/>
        <w:rPr>
          <w:noProof/>
        </w:rPr>
      </w:pPr>
      <w:r w:rsidRPr="00FC6242">
        <w:rPr>
          <w:rFonts w:cs="Segoe UI"/>
          <w:szCs w:val="24"/>
          <w:shd w:val="clear" w:color="auto" w:fill="FFFFFF"/>
        </w:rPr>
        <w:t>Kyrkogårdsgatan, projektering påbörjad under 2022 och byggnation kommer att inledas under våren 2023 där gång- och cykelbanan breddas och förläggs till gatans norra sida med start från Druveforsgatan till Brodalsmotet</w:t>
      </w:r>
    </w:p>
    <w:p w:rsidR="00E157CA" w:rsidRPr="00E157CA" w:rsidRDefault="00E157CA" w:rsidP="00E157CA">
      <w:pPr>
        <w:pStyle w:val="Brdtext"/>
      </w:pP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sdt>
      <w:sdtPr>
        <w:alias w:val="Förslag"/>
        <w:tag w:val="Forslag"/>
        <w:id w:val="1170606048"/>
        <w:placeholder>
          <w:docPart w:val="FA37FBFD2A494C73B12426ACC79F12BC"/>
        </w:placeholder>
      </w:sdtPr>
      <w:sdtEndPr/>
      <w:sdtContent>
        <w:p w:rsidR="00E157CA" w:rsidRDefault="00E157CA" w:rsidP="00E157CA">
          <w:pPr>
            <w:pStyle w:val="Brdtext"/>
            <w:spacing w:after="0"/>
          </w:pPr>
          <w:r>
            <w:t xml:space="preserve">1. </w:t>
          </w:r>
          <w:r w:rsidR="00FC6242">
            <w:t>KS-skrivelse</w:t>
          </w:r>
        </w:p>
        <w:p w:rsidR="00E157CA" w:rsidRPr="00E157CA" w:rsidRDefault="00E157CA" w:rsidP="00E157CA">
          <w:pPr>
            <w:pStyle w:val="Brdtext"/>
            <w:spacing w:after="0"/>
          </w:pPr>
          <w:r>
            <w:t xml:space="preserve">2. </w:t>
          </w:r>
          <w:r w:rsidR="00FC6242">
            <w:t>Tekniska nämndens skrivelse</w:t>
          </w:r>
        </w:p>
      </w:sdtContent>
    </w:sdt>
    <w:p w:rsidR="009C6AC4" w:rsidRDefault="009C6AC4" w:rsidP="00E157CA">
      <w:pPr>
        <w:pStyle w:val="Brdtext"/>
        <w:rPr>
          <w:color w:val="808080"/>
        </w:rPr>
      </w:pPr>
    </w:p>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157CA" w:rsidRDefault="006440DB" w:rsidP="00E157CA">
      <w:pPr>
        <w:pStyle w:val="Brdtext"/>
        <w:rPr>
          <w:vanish/>
        </w:rPr>
      </w:pPr>
      <w:r w:rsidRPr="009A33E5">
        <w:rPr>
          <w:vanish/>
          <w:color w:val="808080"/>
        </w:rPr>
        <w:t xml:space="preserve"> </w:t>
      </w:r>
      <w:r w:rsidR="00E157CA"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EE1237" w:rsidRDefault="00EE1237" w:rsidP="00EE1237">
      <w:pPr>
        <w:pStyle w:val="Brdtext"/>
        <w:spacing w:after="0"/>
      </w:pPr>
      <w:r>
        <w:t xml:space="preserve">1. </w:t>
      </w:r>
      <w:r w:rsidR="006440DB">
        <w:t>Tekniska nämnden</w:t>
      </w:r>
    </w:p>
    <w:p w:rsidR="00C207B5" w:rsidRDefault="00C207B5" w:rsidP="00EE1237">
      <w:pPr>
        <w:pStyle w:val="Brdtext"/>
        <w:rPr>
          <w:color w:val="808080"/>
        </w:rPr>
      </w:pPr>
    </w:p>
    <w:p w:rsidR="00C207B5" w:rsidRDefault="00C207B5" w:rsidP="00EE1237">
      <w:pPr>
        <w:pStyle w:val="Brdtext"/>
        <w:rPr>
          <w:color w:val="808080"/>
        </w:rPr>
      </w:pPr>
    </w:p>
    <w:p w:rsidR="009C6AC4" w:rsidRDefault="009C6AC4" w:rsidP="00EE1237">
      <w:pPr>
        <w:pStyle w:val="Brdtext"/>
      </w:pPr>
    </w:p>
    <w:p w:rsidR="009C6AC4" w:rsidRDefault="009C6AC4" w:rsidP="00EE1237">
      <w:pPr>
        <w:pStyle w:val="Brdtext"/>
      </w:pPr>
    </w:p>
    <w:p w:rsidR="00EE1237" w:rsidRDefault="00122484" w:rsidP="00EE1237">
      <w:pPr>
        <w:pStyle w:val="Brdtext"/>
      </w:pPr>
      <w:r>
        <w:t xml:space="preserve">Andreas </w:t>
      </w:r>
      <w:proofErr w:type="spellStart"/>
      <w:r>
        <w:t>Exner</w:t>
      </w:r>
      <w:proofErr w:type="spellEnd"/>
      <w:r>
        <w:t xml:space="preserve"> (SD) </w:t>
      </w:r>
      <w:r>
        <w:tab/>
      </w:r>
      <w:r>
        <w:tab/>
        <w:t>Kristian Silbvers (SD)</w:t>
      </w:r>
    </w:p>
    <w:p w:rsidR="00122484" w:rsidRPr="00EE1237" w:rsidRDefault="00122484" w:rsidP="00EE1237">
      <w:pPr>
        <w:pStyle w:val="Brdtext"/>
      </w:pPr>
      <w:r>
        <w:t>Kommunalråd</w:t>
      </w:r>
      <w:r>
        <w:tab/>
      </w:r>
      <w:r>
        <w:tab/>
        <w:t xml:space="preserve">Ledamot </w:t>
      </w:r>
      <w:bookmarkStart w:id="0" w:name="_GoBack"/>
      <w:bookmarkEnd w:id="0"/>
    </w:p>
    <w:p w:rsidR="00375E69" w:rsidRPr="007F0749" w:rsidRDefault="00375E69" w:rsidP="00755107">
      <w:pPr>
        <w:spacing w:line="240" w:lineRule="auto"/>
      </w:pPr>
    </w:p>
    <w:sectPr w:rsidR="00375E69" w:rsidRPr="007F0749" w:rsidSect="00F02CC3">
      <w:headerReference w:type="even" r:id="rId10"/>
      <w:headerReference w:type="default" r:id="rId11"/>
      <w:footerReference w:type="even" r:id="rId12"/>
      <w:footerReference w:type="default" r:id="rId13"/>
      <w:headerReference w:type="first" r:id="rId14"/>
      <w:footerReference w:type="first" r:id="rId15"/>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242" w:rsidRDefault="00FC6242" w:rsidP="00A80039">
      <w:pPr>
        <w:pStyle w:val="Tabellinnehll"/>
      </w:pPr>
      <w:r>
        <w:separator/>
      </w:r>
    </w:p>
  </w:endnote>
  <w:endnote w:type="continuationSeparator" w:id="0">
    <w:p w:rsidR="00FC6242" w:rsidRDefault="00FC6242"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242" w:rsidRDefault="00FC624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242" w:rsidRDefault="00FC6242"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242" w:rsidRDefault="00FC6242"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FC6242" w:rsidTr="000022F5">
      <w:trPr>
        <w:trHeight w:val="480"/>
      </w:trPr>
      <w:tc>
        <w:tcPr>
          <w:tcW w:w="10433" w:type="dxa"/>
          <w:gridSpan w:val="5"/>
          <w:tcBorders>
            <w:bottom w:val="single" w:sz="4" w:space="0" w:color="auto"/>
          </w:tcBorders>
          <w:vAlign w:val="bottom"/>
        </w:tcPr>
        <w:p w:rsidR="00FC6242" w:rsidRPr="005B5CE4" w:rsidRDefault="00FC6242" w:rsidP="0092549B">
          <w:pPr>
            <w:pStyle w:val="Sidfot"/>
            <w:spacing w:after="60"/>
            <w:rPr>
              <w:sz w:val="20"/>
            </w:rPr>
          </w:pPr>
          <w:r>
            <w:rPr>
              <w:sz w:val="20"/>
            </w:rPr>
            <w:t>Kommunstyrelsen</w:t>
          </w:r>
        </w:p>
      </w:tc>
    </w:tr>
    <w:tr w:rsidR="00FC6242" w:rsidTr="00755107">
      <w:trPr>
        <w:trHeight w:val="480"/>
      </w:trPr>
      <w:tc>
        <w:tcPr>
          <w:tcW w:w="2244" w:type="dxa"/>
          <w:tcBorders>
            <w:top w:val="single" w:sz="4" w:space="0" w:color="auto"/>
          </w:tcBorders>
        </w:tcPr>
        <w:p w:rsidR="00FC6242" w:rsidRDefault="00FC6242" w:rsidP="0092549B">
          <w:pPr>
            <w:pStyle w:val="Sidfotledtext"/>
          </w:pPr>
          <w:r>
            <w:t>Postadress</w:t>
          </w:r>
        </w:p>
        <w:p w:rsidR="00FC6242" w:rsidRDefault="00FC6242" w:rsidP="0092549B">
          <w:pPr>
            <w:pStyle w:val="Sidfot"/>
          </w:pPr>
          <w:r>
            <w:t xml:space="preserve">501 80 Borås </w:t>
          </w:r>
        </w:p>
      </w:tc>
      <w:tc>
        <w:tcPr>
          <w:tcW w:w="2247" w:type="dxa"/>
          <w:tcBorders>
            <w:top w:val="single" w:sz="4" w:space="0" w:color="auto"/>
          </w:tcBorders>
        </w:tcPr>
        <w:p w:rsidR="00FC6242" w:rsidRPr="006B0841" w:rsidRDefault="00FC6242" w:rsidP="0092549B">
          <w:pPr>
            <w:pStyle w:val="Sidfotledtext"/>
          </w:pPr>
          <w:r>
            <w:t>Besöksadress</w:t>
          </w:r>
        </w:p>
        <w:p w:rsidR="00FC6242" w:rsidRDefault="00FC6242" w:rsidP="0092549B">
          <w:pPr>
            <w:pStyle w:val="Sidfot"/>
          </w:pPr>
          <w:r>
            <w:t>Kungsgatan 55</w:t>
          </w:r>
        </w:p>
      </w:tc>
      <w:tc>
        <w:tcPr>
          <w:tcW w:w="2228" w:type="dxa"/>
          <w:tcBorders>
            <w:top w:val="single" w:sz="4" w:space="0" w:color="auto"/>
          </w:tcBorders>
        </w:tcPr>
        <w:p w:rsidR="00FC6242" w:rsidRDefault="00FC6242" w:rsidP="0092549B">
          <w:pPr>
            <w:pStyle w:val="Sidfotledtext"/>
          </w:pPr>
          <w:r>
            <w:t>Hemsida</w:t>
          </w:r>
        </w:p>
        <w:p w:rsidR="00FC6242" w:rsidRDefault="00FC6242" w:rsidP="0092549B">
          <w:pPr>
            <w:pStyle w:val="Sidfot"/>
          </w:pPr>
          <w:r>
            <w:t>boras.se</w:t>
          </w:r>
        </w:p>
      </w:tc>
      <w:tc>
        <w:tcPr>
          <w:tcW w:w="2411" w:type="dxa"/>
          <w:tcBorders>
            <w:top w:val="single" w:sz="4" w:space="0" w:color="auto"/>
          </w:tcBorders>
        </w:tcPr>
        <w:p w:rsidR="00FC6242" w:rsidRDefault="00FC6242" w:rsidP="0092549B">
          <w:pPr>
            <w:pStyle w:val="Sidfotledtext"/>
          </w:pPr>
          <w:r>
            <w:t>E-post</w:t>
          </w:r>
        </w:p>
        <w:p w:rsidR="00FC6242" w:rsidRDefault="00FC6242" w:rsidP="0092549B">
          <w:pPr>
            <w:pStyle w:val="Sidfot"/>
          </w:pPr>
          <w:r>
            <w:t>boras.stad@boras.se</w:t>
          </w:r>
        </w:p>
      </w:tc>
      <w:tc>
        <w:tcPr>
          <w:tcW w:w="1303" w:type="dxa"/>
          <w:tcBorders>
            <w:top w:val="single" w:sz="4" w:space="0" w:color="auto"/>
          </w:tcBorders>
        </w:tcPr>
        <w:p w:rsidR="00FC6242" w:rsidRDefault="00FC6242" w:rsidP="0092549B">
          <w:pPr>
            <w:pStyle w:val="Sidfotledtext"/>
          </w:pPr>
          <w:r>
            <w:t>Telefon</w:t>
          </w:r>
        </w:p>
        <w:p w:rsidR="00FC6242" w:rsidRDefault="00FC6242" w:rsidP="0092549B">
          <w:pPr>
            <w:pStyle w:val="Sidfot"/>
          </w:pPr>
          <w:r>
            <w:t xml:space="preserve">033-35 70 00 </w:t>
          </w:r>
          <w:proofErr w:type="spellStart"/>
          <w:r>
            <w:t>vxl</w:t>
          </w:r>
          <w:proofErr w:type="spellEnd"/>
        </w:p>
      </w:tc>
    </w:tr>
  </w:tbl>
  <w:p w:rsidR="00FC6242" w:rsidRDefault="00FC6242"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242" w:rsidRDefault="00FC6242" w:rsidP="00A80039">
      <w:pPr>
        <w:pStyle w:val="Tabellinnehll"/>
      </w:pPr>
      <w:r>
        <w:separator/>
      </w:r>
    </w:p>
  </w:footnote>
  <w:footnote w:type="continuationSeparator" w:id="0">
    <w:p w:rsidR="00FC6242" w:rsidRDefault="00FC6242"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242" w:rsidRDefault="00FC624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FC6242" w:rsidRPr="001E0EDC" w:rsidTr="005D7923">
      <w:trPr>
        <w:cantSplit/>
        <w:trHeight w:val="480"/>
      </w:trPr>
      <w:tc>
        <w:tcPr>
          <w:tcW w:w="5216" w:type="dxa"/>
        </w:tcPr>
        <w:p w:rsidR="00FC6242" w:rsidRPr="001E0EDC" w:rsidRDefault="00FC6242" w:rsidP="004F2690">
          <w:pPr>
            <w:pStyle w:val="Sidhuvud"/>
            <w:spacing w:before="220"/>
          </w:pPr>
          <w:r>
            <w:t>Borås Stad</w:t>
          </w:r>
        </w:p>
      </w:tc>
      <w:tc>
        <w:tcPr>
          <w:tcW w:w="1956" w:type="dxa"/>
        </w:tcPr>
        <w:p w:rsidR="00FC6242" w:rsidRPr="00BA066B" w:rsidRDefault="00FC6242" w:rsidP="00556181">
          <w:pPr>
            <w:pStyle w:val="Sidhuvudledtext"/>
          </w:pPr>
        </w:p>
      </w:tc>
      <w:tc>
        <w:tcPr>
          <w:tcW w:w="1956" w:type="dxa"/>
        </w:tcPr>
        <w:p w:rsidR="00FC6242" w:rsidRPr="00BA066B" w:rsidRDefault="00FC6242" w:rsidP="004F2690">
          <w:pPr>
            <w:pStyle w:val="Sidhuvud"/>
          </w:pPr>
        </w:p>
      </w:tc>
      <w:tc>
        <w:tcPr>
          <w:tcW w:w="1304" w:type="dxa"/>
        </w:tcPr>
        <w:p w:rsidR="00FC6242" w:rsidRPr="00BA066B" w:rsidRDefault="00FC6242" w:rsidP="004F2690">
          <w:pPr>
            <w:pStyle w:val="Sidhuvudledtext"/>
          </w:pPr>
          <w:r>
            <w:t>Sida</w:t>
          </w:r>
        </w:p>
        <w:p w:rsidR="00FC6242" w:rsidRPr="00BA066B" w:rsidRDefault="00FC6242" w:rsidP="004F2690">
          <w:pPr>
            <w:pStyle w:val="Sidhuvud"/>
          </w:pPr>
          <w:r>
            <w:rPr>
              <w:rStyle w:val="Sidnummer"/>
            </w:rPr>
            <w:fldChar w:fldCharType="begin"/>
          </w:r>
          <w:r>
            <w:rPr>
              <w:rStyle w:val="Sidnummer"/>
            </w:rPr>
            <w:instrText xml:space="preserve"> PAGE </w:instrText>
          </w:r>
          <w:r>
            <w:rPr>
              <w:rStyle w:val="Sidnummer"/>
            </w:rPr>
            <w:fldChar w:fldCharType="separate"/>
          </w:r>
          <w:r w:rsidR="00122484">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122484">
            <w:rPr>
              <w:rStyle w:val="Sidnummer"/>
              <w:noProof/>
            </w:rPr>
            <w:t>2</w:t>
          </w:r>
          <w:r w:rsidRPr="00BA066B">
            <w:rPr>
              <w:rStyle w:val="Sidnummer"/>
            </w:rPr>
            <w:fldChar w:fldCharType="end"/>
          </w:r>
          <w:r w:rsidRPr="00BA066B">
            <w:rPr>
              <w:rStyle w:val="Sidnummer"/>
            </w:rPr>
            <w:t>)</w:t>
          </w:r>
        </w:p>
      </w:tc>
    </w:tr>
  </w:tbl>
  <w:p w:rsidR="00FC6242" w:rsidRDefault="00FC6242"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242" w:rsidRDefault="00FC6242">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1A471BC"/>
    <w:multiLevelType w:val="multilevel"/>
    <w:tmpl w:val="F5F2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Roger.Cardell@boras.se"/>
    <w:docVar w:name="anvandare_txt_Namn" w:val="Roger Kardell"/>
    <w:docVar w:name="anvandare_txt_Profil" w:val="HAND"/>
    <w:docVar w:name="anvandare_txt_Sign" w:val="RC635"/>
    <w:docVar w:name="anvandare_txt_Telnr" w:val="033 357040"/>
    <w:docVar w:name="Databas" w:val="KS"/>
    <w:docVar w:name="Diarienr" w:val="2023-00110"/>
    <w:docVar w:name="DokumentArkiv_Diarium" w:val="KS"/>
    <w:docVar w:name="DokumentArkiv_FileInApprovalProcess" w:val="0"/>
    <w:docVar w:name="DokumentArkiv_NameService" w:val="shciceronapp"/>
    <w:docVar w:name="DokumentArkiv_SecurityDomain" w:val="Ciceron"/>
    <w:docVar w:name="Grpnr" w:val="2.4.2.0"/>
    <w:docVar w:name="Handlsign" w:val="Roger Kardell"/>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05420F"/>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420F"/>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3957"/>
    <w:rsid w:val="000E53B9"/>
    <w:rsid w:val="000F4FD2"/>
    <w:rsid w:val="000F671C"/>
    <w:rsid w:val="000F6D18"/>
    <w:rsid w:val="00102297"/>
    <w:rsid w:val="00102876"/>
    <w:rsid w:val="00103170"/>
    <w:rsid w:val="00104394"/>
    <w:rsid w:val="00121EEC"/>
    <w:rsid w:val="00122484"/>
    <w:rsid w:val="00122CB5"/>
    <w:rsid w:val="00122D7C"/>
    <w:rsid w:val="00132049"/>
    <w:rsid w:val="00133F56"/>
    <w:rsid w:val="00134155"/>
    <w:rsid w:val="00143DBA"/>
    <w:rsid w:val="00144939"/>
    <w:rsid w:val="00150C81"/>
    <w:rsid w:val="00154706"/>
    <w:rsid w:val="00160519"/>
    <w:rsid w:val="00161D7E"/>
    <w:rsid w:val="00162D00"/>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B0E"/>
    <w:rsid w:val="00200E39"/>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47986"/>
    <w:rsid w:val="002502F5"/>
    <w:rsid w:val="002504DF"/>
    <w:rsid w:val="0025457F"/>
    <w:rsid w:val="00256083"/>
    <w:rsid w:val="00257B8F"/>
    <w:rsid w:val="00270516"/>
    <w:rsid w:val="00270C4A"/>
    <w:rsid w:val="00277BC3"/>
    <w:rsid w:val="0028271D"/>
    <w:rsid w:val="002844CB"/>
    <w:rsid w:val="00286EB9"/>
    <w:rsid w:val="00291BEB"/>
    <w:rsid w:val="00294ADC"/>
    <w:rsid w:val="00295044"/>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788"/>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0EE1"/>
    <w:rsid w:val="003367B9"/>
    <w:rsid w:val="00336C16"/>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046A"/>
    <w:rsid w:val="00387485"/>
    <w:rsid w:val="00397252"/>
    <w:rsid w:val="003A2037"/>
    <w:rsid w:val="003A343F"/>
    <w:rsid w:val="003A74A4"/>
    <w:rsid w:val="003B0E86"/>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ABF"/>
    <w:rsid w:val="00401F39"/>
    <w:rsid w:val="0040232C"/>
    <w:rsid w:val="00402BFE"/>
    <w:rsid w:val="0040697E"/>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0632"/>
    <w:rsid w:val="004D1D3A"/>
    <w:rsid w:val="004D4C1C"/>
    <w:rsid w:val="004D55A4"/>
    <w:rsid w:val="004D5ADB"/>
    <w:rsid w:val="004D68CF"/>
    <w:rsid w:val="004D7925"/>
    <w:rsid w:val="004E0C1C"/>
    <w:rsid w:val="004E0D12"/>
    <w:rsid w:val="004E1D71"/>
    <w:rsid w:val="004E3B4C"/>
    <w:rsid w:val="004E7E8B"/>
    <w:rsid w:val="004F2690"/>
    <w:rsid w:val="0050121B"/>
    <w:rsid w:val="0050158D"/>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517C6"/>
    <w:rsid w:val="00552E5D"/>
    <w:rsid w:val="00556181"/>
    <w:rsid w:val="005562F7"/>
    <w:rsid w:val="00557CDB"/>
    <w:rsid w:val="00563E3E"/>
    <w:rsid w:val="005660A9"/>
    <w:rsid w:val="00570127"/>
    <w:rsid w:val="005706BB"/>
    <w:rsid w:val="005706E2"/>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70C1"/>
    <w:rsid w:val="00640885"/>
    <w:rsid w:val="006440DB"/>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4020"/>
    <w:rsid w:val="00737FB8"/>
    <w:rsid w:val="00752292"/>
    <w:rsid w:val="007528EB"/>
    <w:rsid w:val="00755107"/>
    <w:rsid w:val="007608F2"/>
    <w:rsid w:val="00763AA7"/>
    <w:rsid w:val="0076530B"/>
    <w:rsid w:val="00774FA5"/>
    <w:rsid w:val="00775F88"/>
    <w:rsid w:val="00776FA5"/>
    <w:rsid w:val="00780B2B"/>
    <w:rsid w:val="007815E1"/>
    <w:rsid w:val="00781835"/>
    <w:rsid w:val="007829EB"/>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F0749"/>
    <w:rsid w:val="007F51EB"/>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54599"/>
    <w:rsid w:val="008552ED"/>
    <w:rsid w:val="008627E8"/>
    <w:rsid w:val="00867DC6"/>
    <w:rsid w:val="00867DCF"/>
    <w:rsid w:val="00874470"/>
    <w:rsid w:val="00876A4E"/>
    <w:rsid w:val="00876B2C"/>
    <w:rsid w:val="00877C1F"/>
    <w:rsid w:val="00880BD4"/>
    <w:rsid w:val="008826EC"/>
    <w:rsid w:val="00886424"/>
    <w:rsid w:val="00886936"/>
    <w:rsid w:val="00894D60"/>
    <w:rsid w:val="00895155"/>
    <w:rsid w:val="008A0C5B"/>
    <w:rsid w:val="008A208D"/>
    <w:rsid w:val="008A7DF0"/>
    <w:rsid w:val="008B02FF"/>
    <w:rsid w:val="008B18D0"/>
    <w:rsid w:val="008B1C9A"/>
    <w:rsid w:val="008B5493"/>
    <w:rsid w:val="008B63B0"/>
    <w:rsid w:val="008C3D19"/>
    <w:rsid w:val="008C485D"/>
    <w:rsid w:val="008C588D"/>
    <w:rsid w:val="008D03D0"/>
    <w:rsid w:val="008D5D69"/>
    <w:rsid w:val="008E40E0"/>
    <w:rsid w:val="008E6E31"/>
    <w:rsid w:val="008E708B"/>
    <w:rsid w:val="008F3B8D"/>
    <w:rsid w:val="008F7E78"/>
    <w:rsid w:val="0090277D"/>
    <w:rsid w:val="009048CE"/>
    <w:rsid w:val="009061AC"/>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215E"/>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C6AC4"/>
    <w:rsid w:val="009D26B6"/>
    <w:rsid w:val="009D2773"/>
    <w:rsid w:val="009D7C48"/>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4AD0"/>
    <w:rsid w:val="00A36DD8"/>
    <w:rsid w:val="00A41EAD"/>
    <w:rsid w:val="00A4561B"/>
    <w:rsid w:val="00A45E64"/>
    <w:rsid w:val="00A47090"/>
    <w:rsid w:val="00A503F3"/>
    <w:rsid w:val="00A55360"/>
    <w:rsid w:val="00A56A43"/>
    <w:rsid w:val="00A60E03"/>
    <w:rsid w:val="00A61C78"/>
    <w:rsid w:val="00A674CD"/>
    <w:rsid w:val="00A67766"/>
    <w:rsid w:val="00A67FBC"/>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5C0B"/>
    <w:rsid w:val="00B2769B"/>
    <w:rsid w:val="00B31F0D"/>
    <w:rsid w:val="00B364EF"/>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207B5"/>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0FAC"/>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5E82"/>
    <w:rsid w:val="00D70507"/>
    <w:rsid w:val="00D706BC"/>
    <w:rsid w:val="00D818AD"/>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C6CF2"/>
    <w:rsid w:val="00DD044F"/>
    <w:rsid w:val="00DD265F"/>
    <w:rsid w:val="00DD295D"/>
    <w:rsid w:val="00DD6E70"/>
    <w:rsid w:val="00DE21B6"/>
    <w:rsid w:val="00DF1048"/>
    <w:rsid w:val="00DF23E0"/>
    <w:rsid w:val="00DF5A92"/>
    <w:rsid w:val="00DF5DBD"/>
    <w:rsid w:val="00DF780F"/>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23C3"/>
    <w:rsid w:val="00E730CD"/>
    <w:rsid w:val="00E74141"/>
    <w:rsid w:val="00E74364"/>
    <w:rsid w:val="00E76233"/>
    <w:rsid w:val="00E81578"/>
    <w:rsid w:val="00E8293A"/>
    <w:rsid w:val="00E830A2"/>
    <w:rsid w:val="00E85BEC"/>
    <w:rsid w:val="00E870F3"/>
    <w:rsid w:val="00E90D27"/>
    <w:rsid w:val="00E951E9"/>
    <w:rsid w:val="00E96560"/>
    <w:rsid w:val="00E973E1"/>
    <w:rsid w:val="00EA1060"/>
    <w:rsid w:val="00EA4A92"/>
    <w:rsid w:val="00EB1BA6"/>
    <w:rsid w:val="00EB31E5"/>
    <w:rsid w:val="00EB4B01"/>
    <w:rsid w:val="00EC131A"/>
    <w:rsid w:val="00EC2C2F"/>
    <w:rsid w:val="00EC46F5"/>
    <w:rsid w:val="00EC5E90"/>
    <w:rsid w:val="00EC5E92"/>
    <w:rsid w:val="00ED26ED"/>
    <w:rsid w:val="00ED4B13"/>
    <w:rsid w:val="00ED627E"/>
    <w:rsid w:val="00EE0445"/>
    <w:rsid w:val="00EE1237"/>
    <w:rsid w:val="00EE2FB8"/>
    <w:rsid w:val="00EF115A"/>
    <w:rsid w:val="00EF119E"/>
    <w:rsid w:val="00EF3950"/>
    <w:rsid w:val="00EF40C1"/>
    <w:rsid w:val="00F02CC3"/>
    <w:rsid w:val="00F058E5"/>
    <w:rsid w:val="00F10101"/>
    <w:rsid w:val="00F10798"/>
    <w:rsid w:val="00F229BF"/>
    <w:rsid w:val="00F22C8C"/>
    <w:rsid w:val="00F27678"/>
    <w:rsid w:val="00F27D10"/>
    <w:rsid w:val="00F30358"/>
    <w:rsid w:val="00F31844"/>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877E2"/>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6242"/>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79DFF6F"/>
  <w15:docId w15:val="{2D8F1405-FED6-4322-9589-51C44E2E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styleId="Slutkommentarsreferens">
    <w:name w:val="endnote reference"/>
    <w:semiHidden/>
    <w:unhideWhenUsed/>
    <w:rsid w:val="00A7113D"/>
    <w:rPr>
      <w:vertAlign w:val="superscript"/>
    </w:rPr>
  </w:style>
  <w:style w:type="paragraph" w:styleId="Slutkommentar">
    <w:name w:val="endnote text"/>
    <w:basedOn w:val="Normal"/>
    <w:link w:val="SlutkommentarChar"/>
    <w:semiHidden/>
    <w:unhideWhenUsed/>
    <w:rsid w:val="00A7113D"/>
    <w:pPr>
      <w:spacing w:line="240" w:lineRule="auto"/>
    </w:pPr>
    <w:rPr>
      <w:sz w:val="20"/>
    </w:rPr>
  </w:style>
  <w:style w:type="character" w:customStyle="1" w:styleId="SlutkommentarChar">
    <w:name w:val="Slutkommentar Char"/>
    <w:link w:val="Slutkommentar"/>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table" w:customStyle="1" w:styleId="Tabellrutnt1">
    <w:name w:val="Tabellrutnät1"/>
    <w:basedOn w:val="Normaltabell"/>
    <w:next w:val="Tabellrutnt"/>
    <w:rsid w:val="00EC5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7C7B6A81BA4B5BBFE8E8C39921BF05"/>
        <w:category>
          <w:name w:val="Allmänt"/>
          <w:gallery w:val="placeholder"/>
        </w:category>
        <w:types>
          <w:type w:val="bbPlcHdr"/>
        </w:types>
        <w:behaviors>
          <w:behavior w:val="content"/>
        </w:behaviors>
        <w:guid w:val="{4FDCE20A-3A31-4878-AC0C-2DEF6D899FC6}"/>
      </w:docPartPr>
      <w:docPartBody>
        <w:p w:rsidR="00AC6A89" w:rsidRDefault="00AC6A89">
          <w:pPr>
            <w:pStyle w:val="CE7C7B6A81BA4B5BBFE8E8C39921BF05"/>
          </w:pPr>
          <w:r>
            <w:fldChar w:fldCharType="begin"/>
          </w:r>
          <w:r>
            <w:instrText xml:space="preserve"> MACROBUTTON  AcceptAllConflictsInDoc "[Klicka och skriv här]" </w:instrText>
          </w:r>
          <w:r>
            <w:fldChar w:fldCharType="end"/>
          </w:r>
        </w:p>
      </w:docPartBody>
    </w:docPart>
    <w:docPart>
      <w:docPartPr>
        <w:name w:val="FA37FBFD2A494C73B12426ACC79F12BC"/>
        <w:category>
          <w:name w:val="Allmänt"/>
          <w:gallery w:val="placeholder"/>
        </w:category>
        <w:types>
          <w:type w:val="bbPlcHdr"/>
        </w:types>
        <w:behaviors>
          <w:behavior w:val="content"/>
        </w:behaviors>
        <w:guid w:val="{3B1BB638-1EC2-46F4-A6BD-0D687C7AB76F}"/>
      </w:docPartPr>
      <w:docPartBody>
        <w:p w:rsidR="00AC6A89" w:rsidRDefault="00AC6A89">
          <w:pPr>
            <w:pStyle w:val="FA37FBFD2A494C73B12426ACC79F12BC"/>
          </w:pPr>
          <w:r w:rsidRPr="00D6237B">
            <w:rPr>
              <w:rStyle w:val="Platshllartext"/>
            </w:rPr>
            <w:t>Klicka eller tryck här för att ange text.</w:t>
          </w:r>
        </w:p>
      </w:docPartBody>
    </w:docPart>
    <w:docPart>
      <w:docPartPr>
        <w:name w:val="C162504A719E48F98DA72DC38F42B26B"/>
        <w:category>
          <w:name w:val="Allmänt"/>
          <w:gallery w:val="placeholder"/>
        </w:category>
        <w:types>
          <w:type w:val="bbPlcHdr"/>
        </w:types>
        <w:behaviors>
          <w:behavior w:val="content"/>
        </w:behaviors>
        <w:guid w:val="{71F0A89F-2EA1-42F3-8AC5-63B7351E3225}"/>
      </w:docPartPr>
      <w:docPartBody>
        <w:p w:rsidR="002F20B7" w:rsidRDefault="002F20B7" w:rsidP="002F20B7">
          <w:pPr>
            <w:pStyle w:val="C162504A719E48F98DA72DC38F42B26B"/>
          </w:pPr>
          <w:r w:rsidRPr="00D6237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89"/>
    <w:rsid w:val="002F20B7"/>
    <w:rsid w:val="00AC6A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E7C7B6A81BA4B5BBFE8E8C39921BF05">
    <w:name w:val="CE7C7B6A81BA4B5BBFE8E8C39921BF05"/>
  </w:style>
  <w:style w:type="paragraph" w:customStyle="1" w:styleId="38BF37780A7544B497ECE3C690F2DAA4">
    <w:name w:val="38BF37780A7544B497ECE3C690F2DAA4"/>
  </w:style>
  <w:style w:type="character" w:styleId="Platshllartext">
    <w:name w:val="Placeholder Text"/>
    <w:uiPriority w:val="99"/>
    <w:semiHidden/>
    <w:rsid w:val="002F20B7"/>
    <w:rPr>
      <w:color w:val="808080"/>
    </w:rPr>
  </w:style>
  <w:style w:type="paragraph" w:customStyle="1" w:styleId="FA37FBFD2A494C73B12426ACC79F12BC">
    <w:name w:val="FA37FBFD2A494C73B12426ACC79F12BC"/>
  </w:style>
  <w:style w:type="paragraph" w:customStyle="1" w:styleId="C162504A719E48F98DA72DC38F42B26B">
    <w:name w:val="C162504A719E48F98DA72DC38F42B26B"/>
    <w:rsid w:val="002F20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1B52EA61-6F6F-40A9-A2FF-DB4AE137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3869</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Kardell</dc:creator>
  <cp:keywords/>
  <cp:lastModifiedBy>Rebecka Rapp</cp:lastModifiedBy>
  <cp:revision>3</cp:revision>
  <cp:lastPrinted>2003-09-08T17:29:00Z</cp:lastPrinted>
  <dcterms:created xsi:type="dcterms:W3CDTF">2023-03-10T09:11:00Z</dcterms:created>
  <dcterms:modified xsi:type="dcterms:W3CDTF">2023-03-13T12:43:00Z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