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D9381A" w:rsidP="00BC6608">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tc>
        <w:tc>
          <w:tcPr>
            <w:tcW w:w="3912" w:type="dxa"/>
            <w:gridSpan w:val="2"/>
            <w:vAlign w:val="bottom"/>
          </w:tcPr>
          <w:p w:rsidR="009969B2" w:rsidRPr="007F0749" w:rsidRDefault="00A43F75" w:rsidP="00194921">
            <w:pPr>
              <w:pStyle w:val="Sidhuvud"/>
              <w:rPr>
                <w:b/>
                <w:bCs/>
              </w:rPr>
            </w:pPr>
            <w:r>
              <w:rPr>
                <w:b/>
                <w:bCs/>
              </w:rPr>
              <w:t>REMISS</w:t>
            </w:r>
            <w:r w:rsidR="00194921">
              <w:rPr>
                <w:b/>
                <w:bCs/>
              </w:rPr>
              <w:t>YTTRANDE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09237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969EB">
              <w:rPr>
                <w:rStyle w:val="Sidnummer"/>
                <w:noProof/>
              </w:rPr>
              <w:t>1</w:t>
            </w:r>
            <w:r w:rsidRPr="007F0749">
              <w:rPr>
                <w:rStyle w:val="Sidnummer"/>
              </w:rPr>
              <w:fldChar w:fldCharType="end"/>
            </w:r>
            <w:r w:rsidR="009969B2" w:rsidRPr="007F0749">
              <w:rPr>
                <w:rStyle w:val="Sidnummer"/>
              </w:rPr>
              <w:t>)</w:t>
            </w:r>
          </w:p>
        </w:tc>
      </w:tr>
      <w:tr w:rsidR="004F2690" w:rsidRPr="007F0749" w:rsidTr="00683759">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891AF8" w:rsidP="00891AF8">
            <w:pPr>
              <w:pStyle w:val="Sidhuvud"/>
            </w:pPr>
            <w:r>
              <w:t>2019</w:t>
            </w:r>
            <w:r w:rsidR="00683759">
              <w:t>-</w:t>
            </w:r>
            <w:r>
              <w:t>09</w:t>
            </w:r>
            <w:r w:rsidR="00683759">
              <w:t>-</w:t>
            </w:r>
            <w:r w:rsidR="00EE574B">
              <w:t>30</w:t>
            </w:r>
          </w:p>
        </w:tc>
        <w:tc>
          <w:tcPr>
            <w:tcW w:w="3855" w:type="dxa"/>
            <w:gridSpan w:val="2"/>
          </w:tcPr>
          <w:p w:rsidR="004F2690" w:rsidRDefault="00683759" w:rsidP="004F2690">
            <w:pPr>
              <w:pStyle w:val="Sidhuvudledtext"/>
            </w:pPr>
            <w:r>
              <w:t>Instans</w:t>
            </w:r>
          </w:p>
          <w:p w:rsidR="00683759" w:rsidRPr="00261539" w:rsidRDefault="00683759" w:rsidP="00683759">
            <w:pPr>
              <w:pStyle w:val="Sidhuvud"/>
              <w:rPr>
                <w:b/>
              </w:rPr>
            </w:pPr>
            <w:r w:rsidRPr="00261539">
              <w:rPr>
                <w:b/>
              </w:rPr>
              <w:t>Kommunstyrelsen</w:t>
            </w:r>
          </w:p>
          <w:p w:rsidR="0078604B" w:rsidRPr="00951B63" w:rsidRDefault="00683759" w:rsidP="00BA0A71">
            <w:pPr>
              <w:pStyle w:val="Sidhuvud"/>
            </w:pPr>
            <w:r w:rsidRPr="00A946A5">
              <w:t>Dnr</w:t>
            </w:r>
            <w:r>
              <w:t xml:space="preserve"> </w:t>
            </w:r>
            <w:r w:rsidR="00225F2D" w:rsidRPr="002D30D3">
              <w:t>KS</w:t>
            </w:r>
            <w:r w:rsidR="00225F2D">
              <w:t xml:space="preserve"> </w:t>
            </w:r>
            <w:r w:rsidR="00225F2D" w:rsidRPr="002D30D3">
              <w:t>2019-00604</w:t>
            </w:r>
            <w:r w:rsidR="00BA0A71">
              <w:t xml:space="preserve"> </w:t>
            </w:r>
            <w:r w:rsidR="00225F2D" w:rsidRPr="002D30D3">
              <w:t>1.1.2.1</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r w:rsidR="004F2690" w:rsidRPr="007F0749" w:rsidTr="00F02CC3">
        <w:trPr>
          <w:cantSplit/>
          <w:trHeight w:hRule="exact" w:val="1200"/>
        </w:trPr>
        <w:tc>
          <w:tcPr>
            <w:tcW w:w="5216" w:type="dxa"/>
          </w:tcPr>
          <w:p w:rsidR="004F2690" w:rsidRPr="00951B63" w:rsidRDefault="004F2690" w:rsidP="00D9381A">
            <w:pPr>
              <w:pStyle w:val="Sidhuvud"/>
            </w:pPr>
          </w:p>
        </w:tc>
        <w:tc>
          <w:tcPr>
            <w:tcW w:w="5216" w:type="dxa"/>
            <w:gridSpan w:val="3"/>
          </w:tcPr>
          <w:p w:rsidR="004F2690" w:rsidRDefault="00EE574B" w:rsidP="00194921">
            <w:pPr>
              <w:pStyle w:val="Brdtext"/>
            </w:pPr>
            <w:r>
              <w:t>Boverket</w:t>
            </w:r>
          </w:p>
          <w:p w:rsidR="00EE574B" w:rsidRPr="00951B63" w:rsidRDefault="00EE574B" w:rsidP="00194921">
            <w:pPr>
              <w:pStyle w:val="Brdtext"/>
            </w:pPr>
          </w:p>
        </w:tc>
      </w:tr>
      <w:tr w:rsidR="004F2690" w:rsidRPr="007F0749" w:rsidTr="00F02CC3">
        <w:trPr>
          <w:cantSplit/>
          <w:trHeight w:hRule="exact" w:val="240"/>
        </w:trPr>
        <w:tc>
          <w:tcPr>
            <w:tcW w:w="10432" w:type="dxa"/>
            <w:gridSpan w:val="4"/>
          </w:tcPr>
          <w:p w:rsidR="004F2690" w:rsidRPr="00D9381A" w:rsidRDefault="00D9381A" w:rsidP="00D9381A">
            <w:pPr>
              <w:pStyle w:val="Sidhuvud"/>
              <w:jc w:val="center"/>
              <w:rPr>
                <w:color w:val="FF0000"/>
                <w:sz w:val="22"/>
                <w:szCs w:val="22"/>
              </w:rPr>
            </w:pPr>
            <w:r w:rsidRPr="00D9381A">
              <w:rPr>
                <w:color w:val="FF0000"/>
                <w:sz w:val="22"/>
                <w:szCs w:val="22"/>
              </w:rPr>
              <w:t>ALTERNATIVT FÖRSLAG</w:t>
            </w:r>
          </w:p>
        </w:tc>
      </w:tr>
    </w:tbl>
    <w:p w:rsidR="00B26751" w:rsidRDefault="00194921" w:rsidP="00B26751">
      <w:pPr>
        <w:pStyle w:val="Rubrik1"/>
      </w:pPr>
      <w:r w:rsidRPr="00194921">
        <w:t xml:space="preserve">Borås Stads yttrande över </w:t>
      </w:r>
      <w:r w:rsidR="00EE574B">
        <w:t>r</w:t>
      </w:r>
      <w:r w:rsidR="00225F2D" w:rsidRPr="002D30D3">
        <w:t>emiss; Förslag till Boverkets allmänna råd om omgivningsbuller från industriell verksamhet och annan verksamhet med likartad lj</w:t>
      </w:r>
      <w:r w:rsidR="00EE574B">
        <w:t xml:space="preserve">udkaraktär vid planläggning och </w:t>
      </w:r>
      <w:r w:rsidR="00225F2D" w:rsidRPr="002D30D3">
        <w:t>bygglovsprövning av bostäder m.m.</w:t>
      </w:r>
    </w:p>
    <w:p w:rsidR="00194921" w:rsidRDefault="00891AF8" w:rsidP="00194921">
      <w:pPr>
        <w:pStyle w:val="Brdtext"/>
      </w:pPr>
      <w:r>
        <w:t>Boverkets diarienummer:</w:t>
      </w:r>
      <w:r w:rsidRPr="00891AF8">
        <w:t xml:space="preserve"> 2002/2019</w:t>
      </w:r>
    </w:p>
    <w:p w:rsidR="00194921" w:rsidRDefault="00194921" w:rsidP="00194921">
      <w:pPr>
        <w:pStyle w:val="Rubrik2"/>
      </w:pPr>
      <w:r>
        <w:t>B</w:t>
      </w:r>
      <w:r w:rsidRPr="00877ECD">
        <w:t>eslut</w:t>
      </w:r>
    </w:p>
    <w:p w:rsidR="00194921" w:rsidRPr="00445AA5" w:rsidRDefault="00891AF8" w:rsidP="00194921">
      <w:pPr>
        <w:pStyle w:val="Brdtext"/>
        <w:rPr>
          <w:color w:val="FF0000"/>
        </w:rPr>
      </w:pPr>
      <w:r w:rsidRPr="00445AA5">
        <w:rPr>
          <w:color w:val="FF0000"/>
        </w:rPr>
        <w:t xml:space="preserve">Borås Stad tillstyrker </w:t>
      </w:r>
      <w:r w:rsidR="00445AA5" w:rsidRPr="00445AA5">
        <w:rPr>
          <w:color w:val="FF0000"/>
        </w:rPr>
        <w:t>förslaget.</w:t>
      </w:r>
    </w:p>
    <w:p w:rsidR="00194921" w:rsidRPr="00983674" w:rsidRDefault="00194921" w:rsidP="00194921">
      <w:pPr>
        <w:pStyle w:val="Brdtext"/>
        <w:rPr>
          <w:vanish/>
          <w:color w:val="808080"/>
        </w:rPr>
      </w:pPr>
      <w:r w:rsidRPr="00983674">
        <w:rPr>
          <w:vanish/>
          <w:color w:val="808080"/>
        </w:rPr>
        <w:t>[Beslutets innebörd ska framgå i klartext och vara utformat som om nämnden redan hade fattat beslutet. Syftet är att texten ska kunna flyttas över direkt till protokollet.</w:t>
      </w:r>
    </w:p>
    <w:p w:rsidR="00194921" w:rsidRPr="00983674" w:rsidRDefault="00194921" w:rsidP="00194921">
      <w:pPr>
        <w:pStyle w:val="Brdtext"/>
        <w:rPr>
          <w:vanish/>
          <w:color w:val="808080"/>
        </w:rPr>
      </w:pPr>
      <w:r w:rsidRPr="00983674">
        <w:rPr>
          <w:vanish/>
          <w:color w:val="808080"/>
        </w:rPr>
        <w:t>Beslutet ska kunna förstås separat utan att behöva läsas tillsammans med bilagor och därför får formuleringar såsom ”nämnden beslutar i enlighet med föreliggande förslag” inte användas. Beslutet får skrivas i punktform om det blir tydligare i ett sådant format.]</w:t>
      </w:r>
    </w:p>
    <w:p w:rsidR="00194921" w:rsidRDefault="00194921" w:rsidP="00194921">
      <w:pPr>
        <w:pStyle w:val="Rubrik2"/>
      </w:pPr>
      <w:r w:rsidRPr="00877ECD">
        <w:t>Sammanfattning</w:t>
      </w:r>
    </w:p>
    <w:p w:rsidR="00445AA5" w:rsidRPr="00445AA5" w:rsidRDefault="00445AA5" w:rsidP="001969EB">
      <w:pPr>
        <w:rPr>
          <w:color w:val="FF0000"/>
        </w:rPr>
      </w:pPr>
      <w:r w:rsidRPr="00445AA5">
        <w:rPr>
          <w:color w:val="FF0000"/>
        </w:rPr>
        <w:t>Boverket har skickat remiss till Borås Stad gällande omgivningsbuller från industriverksamhet och liknande verksamheter. Syftet med remissen är att förändra allmänna råd (</w:t>
      </w:r>
      <w:r w:rsidRPr="00445AA5">
        <w:rPr>
          <w:i/>
          <w:color w:val="FF0000"/>
        </w:rPr>
        <w:t>BFS 2019:xx)</w:t>
      </w:r>
      <w:r w:rsidRPr="00445AA5">
        <w:rPr>
          <w:color w:val="FF0000"/>
        </w:rPr>
        <w:t xml:space="preserve"> och på så sätt underlätta planering och byggande av bostäder i bullerutsatta miljöer. </w:t>
      </w:r>
      <w:bookmarkStart w:id="0" w:name="_GoBack"/>
      <w:bookmarkEnd w:id="0"/>
    </w:p>
    <w:p w:rsidR="00891AF8" w:rsidRPr="00445AA5" w:rsidRDefault="00891AF8" w:rsidP="00891AF8">
      <w:pPr>
        <w:rPr>
          <w:rFonts w:cs="Helv"/>
          <w:strike/>
          <w:color w:val="FF0000"/>
          <w:szCs w:val="24"/>
        </w:rPr>
      </w:pPr>
      <w:r w:rsidRPr="00445AA5">
        <w:rPr>
          <w:strike/>
          <w:color w:val="FF0000"/>
        </w:rPr>
        <w:t>Borås Stad</w:t>
      </w:r>
      <w:r w:rsidRPr="00445AA5">
        <w:rPr>
          <w:rFonts w:cs="Helv"/>
          <w:strike/>
          <w:color w:val="FF0000"/>
          <w:szCs w:val="24"/>
        </w:rPr>
        <w:t xml:space="preserve"> anser att: </w:t>
      </w:r>
    </w:p>
    <w:p w:rsidR="00891AF8" w:rsidRPr="00445AA5" w:rsidRDefault="00891AF8" w:rsidP="00891AF8">
      <w:pPr>
        <w:numPr>
          <w:ilvl w:val="0"/>
          <w:numId w:val="12"/>
        </w:numPr>
        <w:autoSpaceDE w:val="0"/>
        <w:autoSpaceDN w:val="0"/>
        <w:adjustRightInd w:val="0"/>
        <w:spacing w:line="240" w:lineRule="auto"/>
        <w:rPr>
          <w:rFonts w:cs="Helv"/>
          <w:strike/>
          <w:color w:val="FF0000"/>
          <w:szCs w:val="24"/>
        </w:rPr>
      </w:pPr>
      <w:r w:rsidRPr="00445AA5">
        <w:rPr>
          <w:rFonts w:cs="Helv"/>
          <w:strike/>
          <w:color w:val="FF0000"/>
          <w:szCs w:val="24"/>
        </w:rPr>
        <w:t xml:space="preserve">I förslaget framkommer det att Folkhälsomyndighetens allmänna råd </w:t>
      </w:r>
      <w:r w:rsidRPr="00445AA5">
        <w:rPr>
          <w:rFonts w:cs="Helv"/>
          <w:i/>
          <w:strike/>
          <w:color w:val="FF0000"/>
          <w:szCs w:val="24"/>
        </w:rPr>
        <w:t>(FoHMFS 2014:13)</w:t>
      </w:r>
      <w:r w:rsidRPr="00445AA5">
        <w:rPr>
          <w:rFonts w:cs="Helv"/>
          <w:strike/>
          <w:color w:val="FF0000"/>
          <w:szCs w:val="24"/>
        </w:rPr>
        <w:t xml:space="preserve"> för buller inomhus ska gälla trots avsteg från högre ljudnivåer vid fasad. Det bör framgå tydligare att det inte är tillåtet att göra några avsteg gällande buller inomhus. Riktvärdet för buller inomhus bör finnas med i de tabeller som visar vilka ljudnivåer som ska gälla för olika tider under dygnet. </w:t>
      </w:r>
    </w:p>
    <w:p w:rsidR="00891AF8" w:rsidRPr="00445AA5" w:rsidRDefault="00891AF8" w:rsidP="00891AF8">
      <w:pPr>
        <w:autoSpaceDE w:val="0"/>
        <w:autoSpaceDN w:val="0"/>
        <w:adjustRightInd w:val="0"/>
        <w:rPr>
          <w:rFonts w:cs="Garamond"/>
          <w:strike/>
          <w:color w:val="FF0000"/>
          <w:szCs w:val="24"/>
        </w:rPr>
      </w:pPr>
    </w:p>
    <w:p w:rsidR="00891AF8" w:rsidRPr="00445AA5" w:rsidRDefault="00891AF8" w:rsidP="00891AF8">
      <w:pPr>
        <w:pStyle w:val="Liststycke"/>
        <w:numPr>
          <w:ilvl w:val="0"/>
          <w:numId w:val="12"/>
        </w:numPr>
        <w:autoSpaceDE w:val="0"/>
        <w:autoSpaceDN w:val="0"/>
        <w:adjustRightInd w:val="0"/>
        <w:spacing w:line="240" w:lineRule="auto"/>
        <w:rPr>
          <w:rFonts w:cs="Garamond"/>
          <w:strike/>
          <w:color w:val="FF0000"/>
          <w:szCs w:val="24"/>
        </w:rPr>
      </w:pPr>
      <w:r w:rsidRPr="00445AA5">
        <w:rPr>
          <w:rFonts w:cs="Garamond"/>
          <w:strike/>
          <w:color w:val="FF0000"/>
          <w:szCs w:val="24"/>
        </w:rPr>
        <w:t xml:space="preserve">Tillsynsmyndigheten kan tidigare ha fattat beslut om vilka krav som en verksamhet ska följa med avseende på buller. Det innebär att dessa bullerkrav måste upphävas om det beslutas i plan- och byggärendet att högre ljudnivåer får gälla. </w:t>
      </w:r>
      <w:r w:rsidRPr="00445AA5">
        <w:rPr>
          <w:rFonts w:cs="Helv"/>
          <w:strike/>
          <w:color w:val="FF0000"/>
          <w:szCs w:val="24"/>
        </w:rPr>
        <w:t xml:space="preserve">Detta kommer att </w:t>
      </w:r>
      <w:r w:rsidRPr="00445AA5">
        <w:rPr>
          <w:rFonts w:cs="Garamond"/>
          <w:strike/>
          <w:color w:val="FF0000"/>
          <w:szCs w:val="24"/>
        </w:rPr>
        <w:t xml:space="preserve">medföra högre arbetsbelastning för handläggare som arbetar med tillsyn enligt Miljöbalken.  </w:t>
      </w:r>
    </w:p>
    <w:p w:rsidR="00891AF8" w:rsidRPr="00445AA5" w:rsidRDefault="00891AF8" w:rsidP="00891AF8">
      <w:pPr>
        <w:pStyle w:val="Liststycke"/>
        <w:rPr>
          <w:rFonts w:cs="Helv"/>
          <w:strike/>
          <w:color w:val="FF0000"/>
          <w:szCs w:val="24"/>
        </w:rPr>
      </w:pPr>
    </w:p>
    <w:p w:rsidR="00194921" w:rsidRPr="00445AA5" w:rsidRDefault="00891AF8" w:rsidP="00194921">
      <w:pPr>
        <w:pStyle w:val="Liststycke"/>
        <w:numPr>
          <w:ilvl w:val="0"/>
          <w:numId w:val="12"/>
        </w:numPr>
        <w:autoSpaceDE w:val="0"/>
        <w:autoSpaceDN w:val="0"/>
        <w:adjustRightInd w:val="0"/>
        <w:spacing w:line="240" w:lineRule="auto"/>
        <w:rPr>
          <w:rFonts w:cs="Garamond"/>
          <w:strike/>
          <w:color w:val="FF0000"/>
          <w:szCs w:val="24"/>
        </w:rPr>
      </w:pPr>
      <w:r w:rsidRPr="00445AA5">
        <w:rPr>
          <w:rFonts w:cs="Helv"/>
          <w:strike/>
          <w:color w:val="FF0000"/>
          <w:szCs w:val="24"/>
        </w:rPr>
        <w:t xml:space="preserve">Intresset för byggande av bostäder i attraktiva men dock bullerutsatta områden bör inte överväga mot konsekvenserna som buller kan utgöra på människors hälsa. Tyngdpunkten i förslaget ska ligga i att minimera risken för olägenhet och ohälsa. Därför bör det finnas ytterst begränsade möjligheter om inga alls att använda sig av ”särskilda skäl” </w:t>
      </w:r>
      <w:r w:rsidRPr="00445AA5">
        <w:rPr>
          <w:rFonts w:cs="Helv"/>
          <w:strike/>
          <w:color w:val="FF0000"/>
          <w:szCs w:val="24"/>
        </w:rPr>
        <w:lastRenderedPageBreak/>
        <w:t>för att kunna bygga där högsta ljudnivån överskrids i Zon C enligt förslaget.</w:t>
      </w:r>
      <w:r w:rsidR="00194921" w:rsidRPr="00445AA5">
        <w:rPr>
          <w:vanish/>
          <w:color w:val="808080"/>
        </w:rPr>
        <w:t xml:space="preserve">[För den som ska behandla remissvar är det en stor fördel om de innehåller en sammanfattning. Det underlättar arbetet med sammanställningen. Men även remissinstansen har glädje av att skriva en sammanfattning. Den blir ett kvitto på att någon väsentlig punkt i svaret inte går förlorad. Sammanfattningen bör vara kortfattad för att fylla sitt syfte. </w:t>
      </w:r>
    </w:p>
    <w:p w:rsidR="00194921" w:rsidRPr="00983674" w:rsidRDefault="00194921" w:rsidP="00194921">
      <w:pPr>
        <w:pStyle w:val="Brdtext"/>
        <w:rPr>
          <w:vanish/>
          <w:color w:val="808080"/>
        </w:rPr>
      </w:pPr>
      <w:r w:rsidRPr="00983674">
        <w:rPr>
          <w:vanish/>
          <w:color w:val="808080"/>
        </w:rPr>
        <w:t>Börja med en sammanfattning av remissinstansens synpunkter. Någon inledning om att man har fått betänkandet på remiss behövs inte.]</w:t>
      </w:r>
    </w:p>
    <w:p w:rsidR="00194921" w:rsidRDefault="00194921" w:rsidP="00194921">
      <w:pPr>
        <w:pStyle w:val="Rubrik2"/>
      </w:pPr>
      <w:r w:rsidRPr="00911C30">
        <w:t>Ärendet i sin helhet</w:t>
      </w:r>
    </w:p>
    <w:p w:rsidR="00891AF8" w:rsidRPr="00891AF8" w:rsidRDefault="00EE574B" w:rsidP="00891AF8">
      <w:pPr>
        <w:rPr>
          <w:color w:val="000000"/>
        </w:rPr>
      </w:pPr>
      <w:r>
        <w:rPr>
          <w:color w:val="000000"/>
        </w:rPr>
        <w:t xml:space="preserve">Boverket har skickat remiss till Borås Stad gällande omgivningsbuller från industriverksamhet och liknande verksamheter. Syftet med remissen är att förändra </w:t>
      </w:r>
      <w:r w:rsidR="00891AF8" w:rsidRPr="00891AF8">
        <w:rPr>
          <w:color w:val="000000"/>
        </w:rPr>
        <w:t>allmänna råd (</w:t>
      </w:r>
      <w:r w:rsidR="00891AF8" w:rsidRPr="00891AF8">
        <w:rPr>
          <w:i/>
          <w:color w:val="000000"/>
        </w:rPr>
        <w:t>BFS 2019:xx)</w:t>
      </w:r>
      <w:r w:rsidR="00891AF8" w:rsidRPr="00891AF8">
        <w:rPr>
          <w:color w:val="000000"/>
        </w:rPr>
        <w:t xml:space="preserve"> </w:t>
      </w:r>
      <w:r>
        <w:rPr>
          <w:color w:val="000000"/>
        </w:rPr>
        <w:t>och på så sätt</w:t>
      </w:r>
      <w:r w:rsidR="00891AF8" w:rsidRPr="00891AF8">
        <w:rPr>
          <w:color w:val="000000"/>
        </w:rPr>
        <w:t xml:space="preserve"> underlätta planering och byggande av bostäder i bullerutsatta miljöer. Några exempel på Boverkets förslag är: </w:t>
      </w:r>
    </w:p>
    <w:p w:rsidR="00891AF8" w:rsidRPr="00891AF8" w:rsidRDefault="00891AF8" w:rsidP="00891AF8">
      <w:pPr>
        <w:numPr>
          <w:ilvl w:val="0"/>
          <w:numId w:val="13"/>
        </w:numPr>
        <w:spacing w:line="240" w:lineRule="auto"/>
        <w:rPr>
          <w:color w:val="000000"/>
        </w:rPr>
      </w:pPr>
      <w:r w:rsidRPr="00891AF8">
        <w:rPr>
          <w:color w:val="000000"/>
        </w:rPr>
        <w:t xml:space="preserve">Möjligheter att göra undantag från riktvärden för omgivningsbuller från industriellt verksamhet och ökade möjligheter att förtäta städer och tätorter. </w:t>
      </w:r>
    </w:p>
    <w:p w:rsidR="00891AF8" w:rsidRPr="00891AF8" w:rsidRDefault="00891AF8" w:rsidP="00891AF8">
      <w:pPr>
        <w:numPr>
          <w:ilvl w:val="0"/>
          <w:numId w:val="13"/>
        </w:numPr>
        <w:spacing w:line="240" w:lineRule="auto"/>
        <w:rPr>
          <w:color w:val="000000"/>
        </w:rPr>
      </w:pPr>
      <w:r w:rsidRPr="00891AF8">
        <w:rPr>
          <w:color w:val="000000"/>
        </w:rPr>
        <w:t>För ny bostadsbebyggelse görs olägenhetsbedömningen i plan- eller bygglovsskedet. Tillsyn enligt miljöbalken utgår sedan från de värden som fastställts i den bedömningen av en bostad.</w:t>
      </w:r>
    </w:p>
    <w:p w:rsidR="00891AF8" w:rsidRPr="00891AF8" w:rsidRDefault="00891AF8" w:rsidP="00891AF8">
      <w:pPr>
        <w:spacing w:line="240" w:lineRule="auto"/>
        <w:ind w:left="720"/>
        <w:rPr>
          <w:color w:val="000000"/>
        </w:rPr>
      </w:pPr>
    </w:p>
    <w:p w:rsidR="00891AF8" w:rsidRDefault="00891AF8" w:rsidP="00891AF8">
      <w:pPr>
        <w:pStyle w:val="Brdtext"/>
        <w:rPr>
          <w:color w:val="000000"/>
        </w:rPr>
      </w:pPr>
      <w:r w:rsidRPr="00891AF8">
        <w:rPr>
          <w:color w:val="000000"/>
        </w:rPr>
        <w:t>Med de föreslagna allmänna råden (BFS 2019:xx) vill Boverket öka förutsägbarheten i den ikraftträdda lagstiftningen och förenkla planläggning och bygglovsprövning av nya bostäder i områden som är exponerade för industri- eller annat verksamhetsbuller, t ex hamnar. De allmänna råden ger möjlighet att inom givna ramar, planera för nya bostäder i områden där de allmänna rådens grundvärden överskrids på byggnadens ena sida förutsatt att den andra sidan uppfyller de kravnivåer som ställs på en ljuddämpad sida (kompensationsåtgärder). Dessutom ställs krav på ljudnivåer på uteplats samt på lek- och andra utevistelseytor i markplan.</w:t>
      </w:r>
    </w:p>
    <w:p w:rsidR="00445AA5" w:rsidRPr="00445AA5" w:rsidRDefault="00445AA5" w:rsidP="00891AF8">
      <w:pPr>
        <w:pStyle w:val="Brdtext"/>
        <w:rPr>
          <w:color w:val="FF0000"/>
        </w:rPr>
      </w:pPr>
      <w:r w:rsidRPr="00445AA5">
        <w:rPr>
          <w:color w:val="FF0000"/>
        </w:rPr>
        <w:t>Borås Stad anser att förslaget är mycket välavvägt med avseende på såväl människors hälsa som miljö och förbättrade möjligheter till centralt belägen bostadsbyggnation</w:t>
      </w:r>
      <w:r w:rsidR="002E24EC">
        <w:rPr>
          <w:color w:val="FF0000"/>
        </w:rPr>
        <w:t xml:space="preserve"> och väljer därför att tillstyrka förslaget</w:t>
      </w:r>
      <w:r w:rsidRPr="00445AA5">
        <w:rPr>
          <w:color w:val="FF0000"/>
        </w:rPr>
        <w:t xml:space="preserve">. </w:t>
      </w:r>
    </w:p>
    <w:p w:rsidR="00891AF8" w:rsidRPr="00445AA5" w:rsidRDefault="00891AF8" w:rsidP="00891AF8">
      <w:pPr>
        <w:pStyle w:val="Brdtext"/>
        <w:rPr>
          <w:strike/>
          <w:color w:val="FF0000"/>
        </w:rPr>
      </w:pPr>
      <w:r w:rsidRPr="00445AA5">
        <w:rPr>
          <w:strike/>
          <w:color w:val="FF0000"/>
        </w:rPr>
        <w:t>Borås Stad yttrar sig utifrån aspekten hur förslaget kan påverka människors hälsa samt tillsynen enligt miljöbalken.</w:t>
      </w:r>
    </w:p>
    <w:p w:rsidR="00891AF8" w:rsidRPr="009263BC" w:rsidRDefault="00891AF8" w:rsidP="00891AF8">
      <w:pPr>
        <w:pStyle w:val="Brdtext"/>
        <w:rPr>
          <w:strike/>
          <w:color w:val="FF0000"/>
        </w:rPr>
      </w:pPr>
      <w:r w:rsidRPr="009263BC">
        <w:rPr>
          <w:strike/>
          <w:color w:val="FF0000"/>
        </w:rPr>
        <w:t xml:space="preserve">Enligt Boverkets förslag till allmänna råd (BFS 2019:xx) om omgivningsbuller från industriell verksamhet är det endast högre ljudnivåer vid byggnadens fasad som kan medges för att underlätta bostadsbyggande. Det bör framgå tydligare att det inte är tillåtet att göra några avsteg gällande buller inomhus. Informationen bör finnas med i de tabeller som visar vilka ljudniver som ska gälla för vilka tider under dygnet. För buller inomhus gäller Folkhälsomyndighetens allmänna råd (FoHMFS 2014:13) om buller inomhus. Där finns det riktvärden och vägledning för bedömning av buller inomhus, inklusive riktvärden för lågfrekvent buller. </w:t>
      </w:r>
    </w:p>
    <w:p w:rsidR="00891AF8" w:rsidRPr="00445AA5" w:rsidRDefault="00891AF8" w:rsidP="00891AF8">
      <w:pPr>
        <w:pStyle w:val="Brdtext"/>
        <w:rPr>
          <w:strike/>
          <w:color w:val="FF0000"/>
        </w:rPr>
      </w:pPr>
      <w:r w:rsidRPr="00445AA5">
        <w:rPr>
          <w:strike/>
          <w:color w:val="FF0000"/>
        </w:rPr>
        <w:t xml:space="preserve">Merparten av de anmälningspliktiga verksamheterna har anmält sin verksamhet till tillsynsmyndigheten och har bullerkrav att följa enligt Naturvårdsverkets riktvärden för buller från industrier vid bostäder, undervisningslokaler och vårdlokaler. Verksamhetsutövaren får inte straffas om verksamheten överskrider bullerkrav vid nya bostäder under förutsättning att de bullervärden som angivits i planbeskrivningar till detaljplan eller bygglov inte överskrids. Det </w:t>
      </w:r>
      <w:r w:rsidRPr="00445AA5">
        <w:rPr>
          <w:strike/>
          <w:color w:val="FF0000"/>
        </w:rPr>
        <w:lastRenderedPageBreak/>
        <w:t xml:space="preserve">innebär att nya beslut måste fattas för verksamheten. Samtidigt kan det innebära att störningsgraden ökar och därmed kan mängden störningsklagomål öka ifall de boende inte förstått att högre ljudnivåer gäller för just deras boenden. Allt detta kommer innebära högre arbetsbelastning för handläggare som arbetar med miljöbalkstillsyn. </w:t>
      </w:r>
    </w:p>
    <w:p w:rsidR="00891AF8" w:rsidRPr="00445AA5" w:rsidRDefault="00891AF8" w:rsidP="00891AF8">
      <w:pPr>
        <w:pStyle w:val="Brdtext"/>
        <w:rPr>
          <w:strike/>
          <w:color w:val="FF0000"/>
        </w:rPr>
      </w:pPr>
      <w:r w:rsidRPr="00445AA5">
        <w:rPr>
          <w:strike/>
          <w:color w:val="FF0000"/>
        </w:rPr>
        <w:t>Intresset för byggande av bostäder i attraktiva men dock bullerutsatta områden bör inte överväga mot konsekvenserna som buller kan utgöra på människors hälsa. Tyngdpunkten i förslaget ska ligga i att minimera risken för olägenhet och ohälsa.  Därför bör det finnas ytterst begränsade möjligheter om inga alls att använda sig av ”särskilda skäl” för att kunna bygga där högsta ljudnivån överskrids i Zon C enligt förslaget (Zon C är Boverkets bedömning att ljudnivåerna är för höga för att området ska vara lämpligt för bostadsbebyggelse och bostäder bör därför inte accepteras). I sådana ärenden ska alla möjligheter utredas för att kunna sträva efter bästa lokalisering eller bästa utformning och placering av bostäderna än att tillåta högre ljudnivåer.</w:t>
      </w:r>
    </w:p>
    <w:p w:rsidR="00891AF8" w:rsidRPr="00445AA5" w:rsidRDefault="00891AF8" w:rsidP="00891AF8">
      <w:pPr>
        <w:pStyle w:val="Brdtext"/>
        <w:rPr>
          <w:strike/>
          <w:vanish/>
          <w:color w:val="FF0000"/>
        </w:rPr>
      </w:pPr>
      <w:r w:rsidRPr="00445AA5">
        <w:rPr>
          <w:strike/>
          <w:color w:val="FF0000"/>
        </w:rPr>
        <w:t>I fall det ska finnas möjligheter att göra undantag/avvikelser krävs det att förslaget preciserar vad som är ”särskilda skäl”. Tydlig vägledning behövs för när det är möjligt att göra undantag eller avsteg för att tillåta högre bullervärden. Det är viktigt att det finns mer handläggarstöd tillgängligt när lagförslaget och de nya reglerna börjar gälla. Detta för att nå målet med en likriktad praxis i hela landet, samt för att motverka att ”särskilda skäl” används slentrianmässigt vilket kan bidra till att folkhälsan försämras med avseende på buller. En annan konsekvens som kan uppstå är att störningarna kan öka vilket kan medför att det blir konflikter mellan boende och industriverksamheter.</w:t>
      </w:r>
      <w:r w:rsidRPr="00445AA5">
        <w:rPr>
          <w:strike/>
          <w:vanish/>
          <w:color w:val="FF0000"/>
        </w:rPr>
        <w:t>Återge inte utredningsförslagen i onödan. Undvik att som en inledning till de egna synpunkterna återge vad utredningen föreslagit. Ett sådant återgivande kan göra det svårt att hitta remissinstansens egna ställningstaganden och skälen för dessa. Det är tillräckligt att med avsnittets nummer och rubrik eller genom ett nyckelord och en sidhänvisning ange det avsnitt som kommenteras.</w:t>
      </w:r>
    </w:p>
    <w:p w:rsidR="00891AF8" w:rsidRPr="00445AA5" w:rsidRDefault="00891AF8" w:rsidP="00891AF8">
      <w:pPr>
        <w:pStyle w:val="Brdtext"/>
        <w:rPr>
          <w:strike/>
          <w:vanish/>
          <w:color w:val="FF0000"/>
        </w:rPr>
      </w:pPr>
      <w:r w:rsidRPr="00445AA5">
        <w:rPr>
          <w:strike/>
          <w:vanish/>
          <w:color w:val="FF0000"/>
        </w:rPr>
        <w:t>Skilj referat från egna synpunkter. Om en remissinstans av särskilda skäl ändå vill referera något som sagts i betänkandet, är det viktigt att, t.ex. genom olika underrubriker i texten eller marginalen, särskilja vad som är referat från vad som är remissinstansens egna ställningstaganden och skälen för dessa. Om en redovisning av innehållet i betänkandet behövs som underlag för själva beslutet om remissvar, bör den ges i en särskild promemoria som inte sänds in tillsammans med svaret.</w:t>
      </w:r>
    </w:p>
    <w:p w:rsidR="00891AF8" w:rsidRPr="00445AA5" w:rsidRDefault="00891AF8" w:rsidP="00891AF8">
      <w:pPr>
        <w:pStyle w:val="Brdtext"/>
        <w:rPr>
          <w:strike/>
          <w:vanish/>
          <w:color w:val="FF0000"/>
        </w:rPr>
      </w:pPr>
      <w:r w:rsidRPr="00445AA5">
        <w:rPr>
          <w:strike/>
          <w:vanish/>
          <w:color w:val="FF0000"/>
        </w:rPr>
        <w:t>Gör ställningstagandet tydligt. Ibland kan det vara svårt att avgöra om en remissinstans instämmer i eller motsätter sig ett förslag. Formulera ställningstagandet klart. Den som är tveksam bör klart säga detta och inte låta tveksamheten komma till uttryck genom svårtolkade formuleringar.]</w:t>
      </w:r>
    </w:p>
    <w:p w:rsidR="00194921" w:rsidRPr="00445AA5" w:rsidRDefault="00194921" w:rsidP="00194921">
      <w:pPr>
        <w:pStyle w:val="Brdtext"/>
        <w:rPr>
          <w:strike/>
          <w:vanish/>
          <w:color w:val="FF0000"/>
        </w:rPr>
      </w:pPr>
      <w:r w:rsidRPr="00445AA5">
        <w:rPr>
          <w:strike/>
          <w:vanish/>
          <w:color w:val="FF0000"/>
        </w:rPr>
        <w:t>Återge inte utredningsförslagen i onödan. Undvik att som en inledning till de egna synpunkterna återge vad utredningen föreslagit. Ett sådant återgivande kan göra det svårt att hitta remissinstansens egna ställningstaganden och skälen för dessa. Det är tillräckligt att med avsnittets nummer och rubrik eller genom ett nyckelord och en sidhänvisning ange det avsnitt som kommenteras.</w:t>
      </w:r>
    </w:p>
    <w:p w:rsidR="00194921" w:rsidRPr="00445AA5" w:rsidRDefault="00194921" w:rsidP="00194921">
      <w:pPr>
        <w:pStyle w:val="Brdtext"/>
        <w:rPr>
          <w:strike/>
          <w:vanish/>
          <w:color w:val="FF0000"/>
        </w:rPr>
      </w:pPr>
      <w:r w:rsidRPr="00445AA5">
        <w:rPr>
          <w:strike/>
          <w:vanish/>
          <w:color w:val="FF0000"/>
        </w:rPr>
        <w:t>Skilj referat från egna synpunkter. Om en remissinstans av särskilda skäl ändå vill referera något som sagts i betänkandet, är det viktigt att, t.ex. genom olika underrubriker i texten eller marginalen, särskilja vad som är referat från vad som är remissinstansens egna ställningstaganden och skälen för dessa. Om en redovisning av innehållet i betänkandet behövs som underlag för själva beslutet om remissvar, bör den ges i en särskild promemoria som inte sänds in tillsammans med svaret.</w:t>
      </w:r>
    </w:p>
    <w:p w:rsidR="00194921" w:rsidRPr="00445AA5" w:rsidRDefault="00194921" w:rsidP="00194921">
      <w:pPr>
        <w:pStyle w:val="Brdtext"/>
        <w:rPr>
          <w:strike/>
          <w:vanish/>
          <w:color w:val="FF0000"/>
        </w:rPr>
      </w:pPr>
      <w:r w:rsidRPr="00445AA5">
        <w:rPr>
          <w:strike/>
          <w:vanish/>
          <w:color w:val="FF0000"/>
        </w:rPr>
        <w:t>Gör ställningstagandet tydligt. Ibland kan det vara svårt att avgöra om en remissinstans instämmer i eller motsätter sig ett förslag. Formulera ställningstagandet klart. Den som är tveksam bör klart säga detta och inte låta tveksamheten komma till uttryck genom svårtolkade formuleringar.]</w:t>
      </w:r>
    </w:p>
    <w:p w:rsidR="00194921" w:rsidRPr="00445AA5" w:rsidRDefault="00194921" w:rsidP="00194921">
      <w:pPr>
        <w:rPr>
          <w:strike/>
          <w:color w:val="FF0000"/>
        </w:rPr>
      </w:pPr>
    </w:p>
    <w:p w:rsidR="00194921" w:rsidRDefault="00194921" w:rsidP="00194921"/>
    <w:p w:rsidR="00D9381A" w:rsidRPr="00D9381A" w:rsidRDefault="00D9381A" w:rsidP="00D9381A">
      <w:pPr>
        <w:spacing w:after="160" w:line="259" w:lineRule="auto"/>
        <w:rPr>
          <w:rFonts w:ascii="Calibri" w:eastAsia="Calibri" w:hAnsi="Calibri" w:cs="Calibri"/>
          <w:b/>
          <w:sz w:val="22"/>
          <w:szCs w:val="22"/>
          <w:lang w:eastAsia="en-US"/>
        </w:rPr>
      </w:pPr>
      <w:r w:rsidRPr="00D9381A">
        <w:rPr>
          <w:rFonts w:ascii="Calibri" w:eastAsia="Calibri" w:hAnsi="Calibri" w:cs="Calibri"/>
          <w:b/>
          <w:sz w:val="22"/>
          <w:szCs w:val="22"/>
          <w:lang w:eastAsia="en-US"/>
        </w:rPr>
        <w:t xml:space="preserve">Allianspartierna i Borås </w:t>
      </w:r>
    </w:p>
    <w:p w:rsidR="00D9381A" w:rsidRPr="00D9381A" w:rsidRDefault="00D9381A" w:rsidP="00D9381A">
      <w:pPr>
        <w:spacing w:line="240" w:lineRule="auto"/>
        <w:rPr>
          <w:rFonts w:ascii="Calibri" w:eastAsia="Calibri" w:hAnsi="Calibri" w:cs="Calibri"/>
          <w:b/>
          <w:sz w:val="22"/>
          <w:szCs w:val="22"/>
          <w:lang w:eastAsia="en-US"/>
        </w:rPr>
      </w:pPr>
    </w:p>
    <w:p w:rsidR="00D9381A" w:rsidRPr="00D9381A" w:rsidRDefault="00D9381A" w:rsidP="00D9381A">
      <w:pPr>
        <w:spacing w:line="240" w:lineRule="auto"/>
        <w:rPr>
          <w:rFonts w:ascii="Calibri" w:eastAsia="Calibri" w:hAnsi="Calibri" w:cs="Calibri"/>
          <w:b/>
          <w:sz w:val="22"/>
          <w:szCs w:val="22"/>
          <w:lang w:eastAsia="en-US"/>
        </w:rPr>
      </w:pPr>
      <w:r w:rsidRPr="00D9381A">
        <w:rPr>
          <w:rFonts w:ascii="Calibri" w:eastAsia="Calibri" w:hAnsi="Calibri" w:cs="Calibri"/>
          <w:b/>
          <w:sz w:val="22"/>
          <w:szCs w:val="22"/>
          <w:lang w:eastAsia="en-US"/>
        </w:rPr>
        <w:t>Moderaterna</w:t>
      </w:r>
      <w:r w:rsidRPr="00D9381A">
        <w:rPr>
          <w:rFonts w:ascii="Calibri" w:eastAsia="Calibri" w:hAnsi="Calibri" w:cs="Calibri"/>
          <w:b/>
          <w:sz w:val="22"/>
          <w:szCs w:val="22"/>
          <w:lang w:eastAsia="en-US"/>
        </w:rPr>
        <w:tab/>
      </w:r>
      <w:r w:rsidRPr="00D9381A">
        <w:rPr>
          <w:rFonts w:ascii="Calibri" w:eastAsia="Calibri" w:hAnsi="Calibri" w:cs="Calibri"/>
          <w:b/>
          <w:sz w:val="22"/>
          <w:szCs w:val="22"/>
          <w:lang w:eastAsia="en-US"/>
        </w:rPr>
        <w:tab/>
      </w:r>
      <w:r w:rsidRPr="00D9381A">
        <w:rPr>
          <w:rFonts w:ascii="Calibri" w:eastAsia="Calibri" w:hAnsi="Calibri" w:cs="Calibri"/>
          <w:b/>
          <w:sz w:val="22"/>
          <w:szCs w:val="22"/>
          <w:lang w:eastAsia="en-US"/>
        </w:rPr>
        <w:tab/>
        <w:t xml:space="preserve">Kristdemokraterna </w:t>
      </w:r>
    </w:p>
    <w:p w:rsidR="00D9381A" w:rsidRPr="00D9381A" w:rsidRDefault="00D9381A" w:rsidP="00D9381A">
      <w:pPr>
        <w:spacing w:line="240" w:lineRule="auto"/>
        <w:rPr>
          <w:rFonts w:ascii="Calibri" w:eastAsia="Calibri" w:hAnsi="Calibri" w:cs="Calibri"/>
          <w:b/>
          <w:sz w:val="22"/>
          <w:szCs w:val="22"/>
          <w:lang w:eastAsia="en-US"/>
        </w:rPr>
      </w:pPr>
    </w:p>
    <w:p w:rsidR="00D9381A" w:rsidRPr="00D9381A" w:rsidRDefault="00D9381A" w:rsidP="00D9381A">
      <w:pPr>
        <w:spacing w:line="240" w:lineRule="auto"/>
        <w:rPr>
          <w:rFonts w:ascii="Calibri" w:eastAsia="Calibri" w:hAnsi="Calibri" w:cs="Calibri"/>
          <w:sz w:val="22"/>
          <w:szCs w:val="22"/>
          <w:lang w:eastAsia="en-US"/>
        </w:rPr>
      </w:pPr>
      <w:r w:rsidRPr="00D9381A">
        <w:rPr>
          <w:rFonts w:ascii="Calibri" w:eastAsia="Calibri" w:hAnsi="Calibri" w:cs="Calibri"/>
          <w:sz w:val="22"/>
          <w:szCs w:val="22"/>
          <w:lang w:eastAsia="en-US"/>
        </w:rPr>
        <w:t xml:space="preserve">Annette Carlson </w:t>
      </w:r>
      <w:r w:rsidRPr="00D9381A">
        <w:rPr>
          <w:rFonts w:ascii="Calibri" w:eastAsia="Calibri" w:hAnsi="Calibri" w:cs="Calibri"/>
          <w:sz w:val="22"/>
          <w:szCs w:val="22"/>
          <w:lang w:eastAsia="en-US"/>
        </w:rPr>
        <w:tab/>
      </w:r>
      <w:r w:rsidRPr="00D9381A">
        <w:rPr>
          <w:rFonts w:ascii="Calibri" w:eastAsia="Calibri" w:hAnsi="Calibri" w:cs="Calibri"/>
          <w:sz w:val="22"/>
          <w:szCs w:val="22"/>
          <w:lang w:eastAsia="en-US"/>
        </w:rPr>
        <w:tab/>
        <w:t>Niklas Arvidsson</w:t>
      </w:r>
    </w:p>
    <w:p w:rsidR="00D9381A" w:rsidRPr="00D9381A" w:rsidRDefault="00D9381A" w:rsidP="00D9381A">
      <w:pPr>
        <w:spacing w:line="240" w:lineRule="auto"/>
        <w:rPr>
          <w:rFonts w:ascii="Calibri" w:eastAsia="Calibri" w:hAnsi="Calibri" w:cs="Calibri"/>
          <w:sz w:val="22"/>
          <w:szCs w:val="22"/>
          <w:lang w:eastAsia="en-US"/>
        </w:rPr>
      </w:pPr>
    </w:p>
    <w:p w:rsidR="00D9381A" w:rsidRPr="00D9381A" w:rsidRDefault="00D9381A" w:rsidP="00D9381A">
      <w:pPr>
        <w:pStyle w:val="Brdtext"/>
        <w:rPr>
          <w:b/>
        </w:rPr>
      </w:pPr>
    </w:p>
    <w:sectPr w:rsidR="00D9381A" w:rsidRPr="00D9381A" w:rsidSect="00F02CC3">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BC" w:rsidRDefault="009263BC" w:rsidP="00A80039">
      <w:pPr>
        <w:pStyle w:val="Tabellinnehll"/>
      </w:pPr>
      <w:r>
        <w:separator/>
      </w:r>
    </w:p>
  </w:endnote>
  <w:endnote w:type="continuationSeparator" w:id="0">
    <w:p w:rsidR="009263BC" w:rsidRDefault="009263BC"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BC" w:rsidRDefault="009263BC"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BC" w:rsidRDefault="009263BC"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63BC" w:rsidTr="000022F5">
      <w:trPr>
        <w:trHeight w:val="480"/>
      </w:trPr>
      <w:tc>
        <w:tcPr>
          <w:tcW w:w="10433" w:type="dxa"/>
          <w:gridSpan w:val="5"/>
          <w:tcBorders>
            <w:bottom w:val="single" w:sz="4" w:space="0" w:color="auto"/>
          </w:tcBorders>
          <w:vAlign w:val="bottom"/>
        </w:tcPr>
        <w:p w:rsidR="009263BC" w:rsidRPr="005B5CE4" w:rsidRDefault="009263BC" w:rsidP="0092549B">
          <w:pPr>
            <w:pStyle w:val="Sidfot"/>
            <w:spacing w:after="60"/>
            <w:rPr>
              <w:sz w:val="20"/>
            </w:rPr>
          </w:pPr>
          <w:r>
            <w:rPr>
              <w:sz w:val="20"/>
            </w:rPr>
            <w:t>Kommunstyrelsen</w:t>
          </w:r>
        </w:p>
      </w:tc>
    </w:tr>
    <w:tr w:rsidR="009263BC" w:rsidTr="00755107">
      <w:trPr>
        <w:trHeight w:val="480"/>
      </w:trPr>
      <w:tc>
        <w:tcPr>
          <w:tcW w:w="2244" w:type="dxa"/>
          <w:tcBorders>
            <w:top w:val="single" w:sz="4" w:space="0" w:color="auto"/>
          </w:tcBorders>
        </w:tcPr>
        <w:p w:rsidR="009263BC" w:rsidRDefault="009263BC" w:rsidP="0092549B">
          <w:pPr>
            <w:pStyle w:val="Sidfotledtext"/>
          </w:pPr>
          <w:r>
            <w:t>Postadress</w:t>
          </w:r>
        </w:p>
        <w:p w:rsidR="009263BC" w:rsidRDefault="009263BC" w:rsidP="0092549B">
          <w:pPr>
            <w:pStyle w:val="Sidfot"/>
          </w:pPr>
          <w:r>
            <w:t>501 80 Borås</w:t>
          </w:r>
        </w:p>
      </w:tc>
      <w:tc>
        <w:tcPr>
          <w:tcW w:w="2247" w:type="dxa"/>
          <w:tcBorders>
            <w:top w:val="single" w:sz="4" w:space="0" w:color="auto"/>
          </w:tcBorders>
        </w:tcPr>
        <w:p w:rsidR="009263BC" w:rsidRPr="006B0841" w:rsidRDefault="009263BC" w:rsidP="0092549B">
          <w:pPr>
            <w:pStyle w:val="Sidfotledtext"/>
          </w:pPr>
          <w:r>
            <w:t>Besöksadress</w:t>
          </w:r>
        </w:p>
        <w:p w:rsidR="009263BC" w:rsidRDefault="009263BC" w:rsidP="0092549B">
          <w:pPr>
            <w:pStyle w:val="Sidfot"/>
          </w:pPr>
          <w:r>
            <w:t>Kungsgatan 55</w:t>
          </w:r>
        </w:p>
      </w:tc>
      <w:tc>
        <w:tcPr>
          <w:tcW w:w="2228" w:type="dxa"/>
          <w:tcBorders>
            <w:top w:val="single" w:sz="4" w:space="0" w:color="auto"/>
          </w:tcBorders>
        </w:tcPr>
        <w:p w:rsidR="009263BC" w:rsidRDefault="009263BC" w:rsidP="0092549B">
          <w:pPr>
            <w:pStyle w:val="Sidfotledtext"/>
          </w:pPr>
          <w:r>
            <w:t>Hemsida</w:t>
          </w:r>
        </w:p>
        <w:p w:rsidR="009263BC" w:rsidRDefault="009263BC" w:rsidP="0092549B">
          <w:pPr>
            <w:pStyle w:val="Sidfot"/>
          </w:pPr>
          <w:r>
            <w:t>boras.se</w:t>
          </w:r>
        </w:p>
      </w:tc>
      <w:tc>
        <w:tcPr>
          <w:tcW w:w="2411" w:type="dxa"/>
          <w:tcBorders>
            <w:top w:val="single" w:sz="4" w:space="0" w:color="auto"/>
          </w:tcBorders>
        </w:tcPr>
        <w:p w:rsidR="009263BC" w:rsidRDefault="009263BC" w:rsidP="0092549B">
          <w:pPr>
            <w:pStyle w:val="Sidfotledtext"/>
          </w:pPr>
          <w:r>
            <w:t>E-post</w:t>
          </w:r>
        </w:p>
        <w:p w:rsidR="009263BC" w:rsidRDefault="009263BC" w:rsidP="0092549B">
          <w:pPr>
            <w:pStyle w:val="Sidfot"/>
          </w:pPr>
        </w:p>
      </w:tc>
      <w:tc>
        <w:tcPr>
          <w:tcW w:w="1303" w:type="dxa"/>
          <w:tcBorders>
            <w:top w:val="single" w:sz="4" w:space="0" w:color="auto"/>
          </w:tcBorders>
        </w:tcPr>
        <w:p w:rsidR="009263BC" w:rsidRDefault="009263BC" w:rsidP="0092549B">
          <w:pPr>
            <w:pStyle w:val="Sidfotledtext"/>
          </w:pPr>
          <w:r>
            <w:t>Telefon</w:t>
          </w:r>
        </w:p>
        <w:p w:rsidR="009263BC" w:rsidRDefault="009263BC" w:rsidP="0092549B">
          <w:pPr>
            <w:pStyle w:val="Sidfot"/>
          </w:pPr>
          <w:r>
            <w:t>033-35 70 00 vxl</w:t>
          </w:r>
        </w:p>
      </w:tc>
    </w:tr>
  </w:tbl>
  <w:p w:rsidR="009263BC" w:rsidRDefault="009263BC"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BC" w:rsidRDefault="009263BC" w:rsidP="00A80039">
      <w:pPr>
        <w:pStyle w:val="Tabellinnehll"/>
      </w:pPr>
      <w:r>
        <w:separator/>
      </w:r>
    </w:p>
  </w:footnote>
  <w:footnote w:type="continuationSeparator" w:id="0">
    <w:p w:rsidR="009263BC" w:rsidRDefault="009263BC"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263BC" w:rsidRPr="001E0EDC" w:rsidTr="005D7923">
      <w:trPr>
        <w:cantSplit/>
        <w:trHeight w:val="480"/>
      </w:trPr>
      <w:tc>
        <w:tcPr>
          <w:tcW w:w="5216" w:type="dxa"/>
        </w:tcPr>
        <w:p w:rsidR="009263BC" w:rsidRPr="001E0EDC" w:rsidRDefault="009263BC" w:rsidP="004F2690">
          <w:pPr>
            <w:pStyle w:val="Sidhuvud"/>
            <w:spacing w:before="220"/>
          </w:pPr>
          <w:r>
            <w:t>Borås Stad</w:t>
          </w:r>
        </w:p>
      </w:tc>
      <w:tc>
        <w:tcPr>
          <w:tcW w:w="1956" w:type="dxa"/>
        </w:tcPr>
        <w:p w:rsidR="009263BC" w:rsidRPr="00BA066B" w:rsidRDefault="009263BC" w:rsidP="00683759">
          <w:pPr>
            <w:pStyle w:val="Sidhuvudledtext"/>
          </w:pPr>
        </w:p>
      </w:tc>
      <w:tc>
        <w:tcPr>
          <w:tcW w:w="1956" w:type="dxa"/>
        </w:tcPr>
        <w:p w:rsidR="009263BC" w:rsidRPr="00BA066B" w:rsidRDefault="009263BC" w:rsidP="004F2690">
          <w:pPr>
            <w:pStyle w:val="Sidhuvud"/>
          </w:pPr>
        </w:p>
      </w:tc>
      <w:tc>
        <w:tcPr>
          <w:tcW w:w="1304" w:type="dxa"/>
        </w:tcPr>
        <w:p w:rsidR="009263BC" w:rsidRPr="00BA066B" w:rsidRDefault="009263BC" w:rsidP="004F2690">
          <w:pPr>
            <w:pStyle w:val="Sidhuvudledtext"/>
          </w:pPr>
          <w:r>
            <w:t>Sida</w:t>
          </w:r>
        </w:p>
        <w:p w:rsidR="009263BC" w:rsidRPr="00BA066B" w:rsidRDefault="009263BC" w:rsidP="004F2690">
          <w:pPr>
            <w:pStyle w:val="Sidhuvud"/>
          </w:pPr>
          <w:r>
            <w:rPr>
              <w:rStyle w:val="Sidnummer"/>
            </w:rPr>
            <w:fldChar w:fldCharType="begin"/>
          </w:r>
          <w:r>
            <w:rPr>
              <w:rStyle w:val="Sidnummer"/>
            </w:rPr>
            <w:instrText xml:space="preserve"> PAGE </w:instrText>
          </w:r>
          <w:r>
            <w:rPr>
              <w:rStyle w:val="Sidnummer"/>
            </w:rPr>
            <w:fldChar w:fldCharType="separate"/>
          </w:r>
          <w:r w:rsidR="001969E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969EB">
            <w:rPr>
              <w:rStyle w:val="Sidnummer"/>
              <w:noProof/>
            </w:rPr>
            <w:t>3</w:t>
          </w:r>
          <w:r w:rsidRPr="00BA066B">
            <w:rPr>
              <w:rStyle w:val="Sidnummer"/>
            </w:rPr>
            <w:fldChar w:fldCharType="end"/>
          </w:r>
          <w:r w:rsidRPr="00BA066B">
            <w:rPr>
              <w:rStyle w:val="Sidnummer"/>
            </w:rPr>
            <w:t>)</w:t>
          </w:r>
        </w:p>
      </w:tc>
    </w:tr>
  </w:tbl>
  <w:p w:rsidR="009263BC" w:rsidRDefault="009263BC"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BC" w:rsidRDefault="009263B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6479CE"/>
    <w:multiLevelType w:val="hybridMultilevel"/>
    <w:tmpl w:val="9AAEB0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7705AFA"/>
    <w:multiLevelType w:val="hybridMultilevel"/>
    <w:tmpl w:val="1D5CC9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A3FAF"/>
    <w:multiLevelType w:val="hybridMultilevel"/>
    <w:tmpl w:val="B290D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a.magnusson@boras.se"/>
    <w:docVar w:name="anvandare_txt_Namn" w:val="Mia Magnusson"/>
    <w:docVar w:name="anvandare_txt_Profil" w:val="HAND"/>
    <w:docVar w:name="anvandare_txt_Sign" w:val="MO539"/>
    <w:docVar w:name="anvandare_txt_Telnr" w:val="033 357098"/>
    <w:docVar w:name="Databas" w:val="KS"/>
    <w:docVar w:name="Diarienr" w:val="2019-00604"/>
    <w:docVar w:name="Grpnr" w:val="1.1.2.1"/>
    <w:docVar w:name="Handlsign" w:val="Mia Magnusson"/>
    <w:docVar w:name="HTTPadressSkrivhandbok" w:val="http://www.formsoft.se/docs/sisdokument.pdf"/>
    <w:docVar w:name="mall_path" w:val="C:\Ciceron\Classic32\LOKAL\TEMP\dia3_exp_a.txt"/>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EA3"/>
    <w:rsid w:val="00037F70"/>
    <w:rsid w:val="00040DC3"/>
    <w:rsid w:val="00040E2E"/>
    <w:rsid w:val="00041988"/>
    <w:rsid w:val="00044C23"/>
    <w:rsid w:val="00051634"/>
    <w:rsid w:val="0005469C"/>
    <w:rsid w:val="00055670"/>
    <w:rsid w:val="000568A6"/>
    <w:rsid w:val="00056BE6"/>
    <w:rsid w:val="000653E4"/>
    <w:rsid w:val="00072CE9"/>
    <w:rsid w:val="00072D69"/>
    <w:rsid w:val="00077B6C"/>
    <w:rsid w:val="00083B28"/>
    <w:rsid w:val="000875A0"/>
    <w:rsid w:val="00091E15"/>
    <w:rsid w:val="0009237A"/>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17ED0"/>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036F"/>
    <w:rsid w:val="0018103C"/>
    <w:rsid w:val="00184BA5"/>
    <w:rsid w:val="001854DC"/>
    <w:rsid w:val="00192CDE"/>
    <w:rsid w:val="00192DB8"/>
    <w:rsid w:val="00194921"/>
    <w:rsid w:val="001969EB"/>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5F2D"/>
    <w:rsid w:val="002261E2"/>
    <w:rsid w:val="002261F9"/>
    <w:rsid w:val="00237D57"/>
    <w:rsid w:val="002443BC"/>
    <w:rsid w:val="00246CAA"/>
    <w:rsid w:val="002502F5"/>
    <w:rsid w:val="002504DF"/>
    <w:rsid w:val="0025457F"/>
    <w:rsid w:val="00256083"/>
    <w:rsid w:val="00257B8F"/>
    <w:rsid w:val="00261539"/>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24EC"/>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56BD"/>
    <w:rsid w:val="00320E41"/>
    <w:rsid w:val="003215E7"/>
    <w:rsid w:val="003230C2"/>
    <w:rsid w:val="003249AB"/>
    <w:rsid w:val="00326DAF"/>
    <w:rsid w:val="00327E62"/>
    <w:rsid w:val="0033415E"/>
    <w:rsid w:val="0033442A"/>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6FCB"/>
    <w:rsid w:val="00387485"/>
    <w:rsid w:val="00390746"/>
    <w:rsid w:val="00397252"/>
    <w:rsid w:val="003A2037"/>
    <w:rsid w:val="003A343F"/>
    <w:rsid w:val="003A74A4"/>
    <w:rsid w:val="003A777B"/>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33AA"/>
    <w:rsid w:val="00441FFA"/>
    <w:rsid w:val="004440A3"/>
    <w:rsid w:val="0044492E"/>
    <w:rsid w:val="00445AA5"/>
    <w:rsid w:val="00445B00"/>
    <w:rsid w:val="004472AB"/>
    <w:rsid w:val="00447386"/>
    <w:rsid w:val="00451495"/>
    <w:rsid w:val="004515F3"/>
    <w:rsid w:val="00452E51"/>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330"/>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2C3C"/>
    <w:rsid w:val="005F12BA"/>
    <w:rsid w:val="005F22F0"/>
    <w:rsid w:val="005F2B8E"/>
    <w:rsid w:val="006005A7"/>
    <w:rsid w:val="00600CC4"/>
    <w:rsid w:val="00601420"/>
    <w:rsid w:val="00607E6D"/>
    <w:rsid w:val="00620E4B"/>
    <w:rsid w:val="00622A85"/>
    <w:rsid w:val="00623485"/>
    <w:rsid w:val="0063013E"/>
    <w:rsid w:val="00633D9D"/>
    <w:rsid w:val="006370C1"/>
    <w:rsid w:val="00640885"/>
    <w:rsid w:val="00644A45"/>
    <w:rsid w:val="00645CE3"/>
    <w:rsid w:val="0064648F"/>
    <w:rsid w:val="006471B2"/>
    <w:rsid w:val="0064799B"/>
    <w:rsid w:val="00647C54"/>
    <w:rsid w:val="0065207B"/>
    <w:rsid w:val="0065343B"/>
    <w:rsid w:val="0065360C"/>
    <w:rsid w:val="006615D0"/>
    <w:rsid w:val="006623B3"/>
    <w:rsid w:val="00662D43"/>
    <w:rsid w:val="00664AF8"/>
    <w:rsid w:val="0066651B"/>
    <w:rsid w:val="0066672B"/>
    <w:rsid w:val="006678D7"/>
    <w:rsid w:val="006711A3"/>
    <w:rsid w:val="00672ACE"/>
    <w:rsid w:val="00680882"/>
    <w:rsid w:val="0068197C"/>
    <w:rsid w:val="00683759"/>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5CD"/>
    <w:rsid w:val="00706AF0"/>
    <w:rsid w:val="007113A5"/>
    <w:rsid w:val="0071284B"/>
    <w:rsid w:val="00716E23"/>
    <w:rsid w:val="0072260F"/>
    <w:rsid w:val="00723487"/>
    <w:rsid w:val="0072626F"/>
    <w:rsid w:val="0072767D"/>
    <w:rsid w:val="00727A82"/>
    <w:rsid w:val="00730386"/>
    <w:rsid w:val="00730CF6"/>
    <w:rsid w:val="00731268"/>
    <w:rsid w:val="00733682"/>
    <w:rsid w:val="00734020"/>
    <w:rsid w:val="00737FB8"/>
    <w:rsid w:val="00752292"/>
    <w:rsid w:val="007528EB"/>
    <w:rsid w:val="00755107"/>
    <w:rsid w:val="007608F2"/>
    <w:rsid w:val="00763AA7"/>
    <w:rsid w:val="0076530B"/>
    <w:rsid w:val="0077552E"/>
    <w:rsid w:val="00775F88"/>
    <w:rsid w:val="00776FA5"/>
    <w:rsid w:val="00780B2B"/>
    <w:rsid w:val="00781835"/>
    <w:rsid w:val="0078604B"/>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41B1"/>
    <w:rsid w:val="007F51EB"/>
    <w:rsid w:val="0080371E"/>
    <w:rsid w:val="00805910"/>
    <w:rsid w:val="00805B35"/>
    <w:rsid w:val="008163E2"/>
    <w:rsid w:val="00816620"/>
    <w:rsid w:val="00820018"/>
    <w:rsid w:val="00820162"/>
    <w:rsid w:val="008216BF"/>
    <w:rsid w:val="008301E0"/>
    <w:rsid w:val="00831CAE"/>
    <w:rsid w:val="008335D0"/>
    <w:rsid w:val="00833E04"/>
    <w:rsid w:val="00835530"/>
    <w:rsid w:val="00835C10"/>
    <w:rsid w:val="00854599"/>
    <w:rsid w:val="008552ED"/>
    <w:rsid w:val="00856FEA"/>
    <w:rsid w:val="00861575"/>
    <w:rsid w:val="00867DCF"/>
    <w:rsid w:val="00874470"/>
    <w:rsid w:val="00876B2C"/>
    <w:rsid w:val="00877C1F"/>
    <w:rsid w:val="00880BD4"/>
    <w:rsid w:val="00886424"/>
    <w:rsid w:val="00886936"/>
    <w:rsid w:val="00891AF8"/>
    <w:rsid w:val="00894D60"/>
    <w:rsid w:val="00895155"/>
    <w:rsid w:val="008A0C5B"/>
    <w:rsid w:val="008A208D"/>
    <w:rsid w:val="008A7DF0"/>
    <w:rsid w:val="008B02FF"/>
    <w:rsid w:val="008B18D0"/>
    <w:rsid w:val="008B1C9A"/>
    <w:rsid w:val="008B5493"/>
    <w:rsid w:val="008B63B0"/>
    <w:rsid w:val="008C0693"/>
    <w:rsid w:val="008C3D19"/>
    <w:rsid w:val="008C588D"/>
    <w:rsid w:val="008D03D0"/>
    <w:rsid w:val="008D5D69"/>
    <w:rsid w:val="008E40E0"/>
    <w:rsid w:val="008E63EE"/>
    <w:rsid w:val="008E6E31"/>
    <w:rsid w:val="008E708B"/>
    <w:rsid w:val="008F3B8D"/>
    <w:rsid w:val="008F7E78"/>
    <w:rsid w:val="0090277D"/>
    <w:rsid w:val="009048CE"/>
    <w:rsid w:val="009061AC"/>
    <w:rsid w:val="0092333B"/>
    <w:rsid w:val="00923D79"/>
    <w:rsid w:val="009240C6"/>
    <w:rsid w:val="00925265"/>
    <w:rsid w:val="0092549B"/>
    <w:rsid w:val="009263BC"/>
    <w:rsid w:val="0093045D"/>
    <w:rsid w:val="009307F7"/>
    <w:rsid w:val="00933A8A"/>
    <w:rsid w:val="00941181"/>
    <w:rsid w:val="009419B5"/>
    <w:rsid w:val="0095081F"/>
    <w:rsid w:val="00950C98"/>
    <w:rsid w:val="00952E17"/>
    <w:rsid w:val="0096012B"/>
    <w:rsid w:val="0096081D"/>
    <w:rsid w:val="009622CE"/>
    <w:rsid w:val="0096251C"/>
    <w:rsid w:val="0096286B"/>
    <w:rsid w:val="009634D1"/>
    <w:rsid w:val="009659FB"/>
    <w:rsid w:val="009672F0"/>
    <w:rsid w:val="009713FE"/>
    <w:rsid w:val="009717E8"/>
    <w:rsid w:val="00977805"/>
    <w:rsid w:val="009812D7"/>
    <w:rsid w:val="00983674"/>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23DD"/>
    <w:rsid w:val="009C40F5"/>
    <w:rsid w:val="009D26B6"/>
    <w:rsid w:val="009D2773"/>
    <w:rsid w:val="009E19A8"/>
    <w:rsid w:val="009E203B"/>
    <w:rsid w:val="009E50C5"/>
    <w:rsid w:val="009F111F"/>
    <w:rsid w:val="009F20D4"/>
    <w:rsid w:val="009F3A1F"/>
    <w:rsid w:val="009F421F"/>
    <w:rsid w:val="00A01A91"/>
    <w:rsid w:val="00A02CDD"/>
    <w:rsid w:val="00A05C5E"/>
    <w:rsid w:val="00A10BD1"/>
    <w:rsid w:val="00A117DC"/>
    <w:rsid w:val="00A124BF"/>
    <w:rsid w:val="00A14CF7"/>
    <w:rsid w:val="00A242C7"/>
    <w:rsid w:val="00A33009"/>
    <w:rsid w:val="00A33612"/>
    <w:rsid w:val="00A36AE9"/>
    <w:rsid w:val="00A36DD8"/>
    <w:rsid w:val="00A41EAD"/>
    <w:rsid w:val="00A43F75"/>
    <w:rsid w:val="00A4561B"/>
    <w:rsid w:val="00A45E64"/>
    <w:rsid w:val="00A47090"/>
    <w:rsid w:val="00A503F3"/>
    <w:rsid w:val="00A542F4"/>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46A5"/>
    <w:rsid w:val="00A953B5"/>
    <w:rsid w:val="00A96BDA"/>
    <w:rsid w:val="00A971E6"/>
    <w:rsid w:val="00A97FA9"/>
    <w:rsid w:val="00AA1EC1"/>
    <w:rsid w:val="00AA281F"/>
    <w:rsid w:val="00AB12D9"/>
    <w:rsid w:val="00AB254E"/>
    <w:rsid w:val="00AB4373"/>
    <w:rsid w:val="00AB43E4"/>
    <w:rsid w:val="00AB6993"/>
    <w:rsid w:val="00AB6B4C"/>
    <w:rsid w:val="00AC0856"/>
    <w:rsid w:val="00AC3611"/>
    <w:rsid w:val="00AD1F64"/>
    <w:rsid w:val="00AD23B3"/>
    <w:rsid w:val="00AD3F6C"/>
    <w:rsid w:val="00AD6CE1"/>
    <w:rsid w:val="00AE031D"/>
    <w:rsid w:val="00AE2535"/>
    <w:rsid w:val="00AE2A01"/>
    <w:rsid w:val="00AE407B"/>
    <w:rsid w:val="00AE4676"/>
    <w:rsid w:val="00AF2DD0"/>
    <w:rsid w:val="00AF4A9F"/>
    <w:rsid w:val="00B003DE"/>
    <w:rsid w:val="00B01D70"/>
    <w:rsid w:val="00B01F0C"/>
    <w:rsid w:val="00B027CB"/>
    <w:rsid w:val="00B02D86"/>
    <w:rsid w:val="00B0429E"/>
    <w:rsid w:val="00B1261B"/>
    <w:rsid w:val="00B17385"/>
    <w:rsid w:val="00B20660"/>
    <w:rsid w:val="00B20C40"/>
    <w:rsid w:val="00B235F2"/>
    <w:rsid w:val="00B25C0B"/>
    <w:rsid w:val="00B26751"/>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0A71"/>
    <w:rsid w:val="00BA1D94"/>
    <w:rsid w:val="00BB4574"/>
    <w:rsid w:val="00BC3171"/>
    <w:rsid w:val="00BC6608"/>
    <w:rsid w:val="00BC70AB"/>
    <w:rsid w:val="00BD1DCF"/>
    <w:rsid w:val="00BD3DDA"/>
    <w:rsid w:val="00BF1D08"/>
    <w:rsid w:val="00BF4486"/>
    <w:rsid w:val="00C01ABC"/>
    <w:rsid w:val="00C01F74"/>
    <w:rsid w:val="00C021B4"/>
    <w:rsid w:val="00C04F49"/>
    <w:rsid w:val="00C07309"/>
    <w:rsid w:val="00C104DE"/>
    <w:rsid w:val="00C141AD"/>
    <w:rsid w:val="00C14A89"/>
    <w:rsid w:val="00C22B4F"/>
    <w:rsid w:val="00C237E0"/>
    <w:rsid w:val="00C268C0"/>
    <w:rsid w:val="00C32E44"/>
    <w:rsid w:val="00C35D7E"/>
    <w:rsid w:val="00C37867"/>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5D00"/>
    <w:rsid w:val="00CA109F"/>
    <w:rsid w:val="00CA2019"/>
    <w:rsid w:val="00CA31B2"/>
    <w:rsid w:val="00CA5266"/>
    <w:rsid w:val="00CA5397"/>
    <w:rsid w:val="00CA63FD"/>
    <w:rsid w:val="00CB036E"/>
    <w:rsid w:val="00CB5F13"/>
    <w:rsid w:val="00CB71AC"/>
    <w:rsid w:val="00CD0A9F"/>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42E5"/>
    <w:rsid w:val="00D8545D"/>
    <w:rsid w:val="00D85BDC"/>
    <w:rsid w:val="00D873ED"/>
    <w:rsid w:val="00D910B1"/>
    <w:rsid w:val="00D91731"/>
    <w:rsid w:val="00D9381A"/>
    <w:rsid w:val="00DA3A8D"/>
    <w:rsid w:val="00DA486C"/>
    <w:rsid w:val="00DA539F"/>
    <w:rsid w:val="00DB0C6A"/>
    <w:rsid w:val="00DB5BBF"/>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7D5C"/>
    <w:rsid w:val="00E20E04"/>
    <w:rsid w:val="00E3096B"/>
    <w:rsid w:val="00E310F0"/>
    <w:rsid w:val="00E32258"/>
    <w:rsid w:val="00E34459"/>
    <w:rsid w:val="00E35D49"/>
    <w:rsid w:val="00E432D5"/>
    <w:rsid w:val="00E506AF"/>
    <w:rsid w:val="00E50B4C"/>
    <w:rsid w:val="00E53763"/>
    <w:rsid w:val="00E6251D"/>
    <w:rsid w:val="00E62C77"/>
    <w:rsid w:val="00E67D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3C54"/>
    <w:rsid w:val="00EC5E92"/>
    <w:rsid w:val="00ED26ED"/>
    <w:rsid w:val="00ED4B13"/>
    <w:rsid w:val="00ED627E"/>
    <w:rsid w:val="00EE0445"/>
    <w:rsid w:val="00EE2656"/>
    <w:rsid w:val="00EE2FB8"/>
    <w:rsid w:val="00EE574B"/>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0B8"/>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4822A4"/>
  <w15:docId w15:val="{F1748F23-1124-4171-BF74-8469511C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notsreferens">
    <w:name w:val="Slutnotsreferens"/>
    <w:semiHidden/>
    <w:unhideWhenUsed/>
    <w:rsid w:val="00A7113D"/>
    <w:rPr>
      <w:vertAlign w:val="superscript"/>
    </w:rPr>
  </w:style>
  <w:style w:type="paragraph"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Rubrik20">
    <w:name w:val="Rubrik2"/>
    <w:basedOn w:val="Rubrik1"/>
    <w:next w:val="Normal"/>
    <w:qFormat/>
    <w:rsid w:val="00E32258"/>
    <w:pPr>
      <w:keepLines/>
      <w:spacing w:before="0" w:after="0" w:line="240" w:lineRule="auto"/>
    </w:pPr>
    <w:rPr>
      <w:bCs/>
      <w:szCs w:val="28"/>
    </w:rPr>
  </w:style>
  <w:style w:type="paragraph" w:customStyle="1" w:styleId="Rubrik-3">
    <w:name w:val="Rubrik-3"/>
    <w:basedOn w:val="Normal"/>
    <w:next w:val="Normal"/>
    <w:qFormat/>
    <w:rsid w:val="00E32258"/>
    <w:pPr>
      <w:keepNext/>
      <w:spacing w:line="240" w:lineRule="auto"/>
    </w:pPr>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2017-06-12T00:00:00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8394</Characters>
  <Application>Microsoft Office Word</Application>
  <DocSecurity>4</DocSecurity>
  <Lines>182</Lines>
  <Paragraphs>55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Magnusson</dc:creator>
  <cp:keywords/>
  <cp:lastModifiedBy>Dennis Jernkrook</cp:lastModifiedBy>
  <cp:revision>2</cp:revision>
  <cp:lastPrinted>2003-09-08T17:29:00Z</cp:lastPrinted>
  <dcterms:created xsi:type="dcterms:W3CDTF">2019-09-30T11:50:00Z</dcterms:created>
  <dcterms:modified xsi:type="dcterms:W3CDTF">2019-09-30T11:50:00Z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