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F5" w:rsidRDefault="000579F5">
      <w:pPr>
        <w:widowControl w:val="0"/>
        <w:pBdr>
          <w:top w:val="nil"/>
          <w:left w:val="nil"/>
          <w:bottom w:val="nil"/>
          <w:right w:val="nil"/>
          <w:between w:val="nil"/>
        </w:pBdr>
        <w:rPr>
          <w:rFonts w:ascii="Arial" w:eastAsia="Arial" w:hAnsi="Arial" w:cs="Arial"/>
          <w:color w:val="000000"/>
          <w:sz w:val="22"/>
          <w:szCs w:val="22"/>
        </w:rPr>
      </w:pPr>
      <w:bookmarkStart w:id="0" w:name="_GoBack"/>
      <w:bookmarkEnd w:id="0"/>
    </w:p>
    <w:tbl>
      <w:tblPr>
        <w:tblStyle w:val="a"/>
        <w:tblW w:w="10432" w:type="dxa"/>
        <w:tblInd w:w="-1304" w:type="dxa"/>
        <w:tblLayout w:type="fixed"/>
        <w:tblLook w:val="0000" w:firstRow="0" w:lastRow="0" w:firstColumn="0" w:lastColumn="0" w:noHBand="0" w:noVBand="0"/>
      </w:tblPr>
      <w:tblGrid>
        <w:gridCol w:w="5216"/>
        <w:gridCol w:w="1361"/>
        <w:gridCol w:w="2551"/>
        <w:gridCol w:w="1304"/>
      </w:tblGrid>
      <w:tr w:rsidR="000579F5">
        <w:trPr>
          <w:trHeight w:val="435"/>
        </w:trPr>
        <w:tc>
          <w:tcPr>
            <w:tcW w:w="5216" w:type="dxa"/>
            <w:vMerge w:val="restart"/>
          </w:tcPr>
          <w:p w:rsidR="000579F5" w:rsidRDefault="005C0E5C">
            <w:pPr>
              <w:pBdr>
                <w:top w:val="nil"/>
                <w:left w:val="nil"/>
                <w:bottom w:val="nil"/>
                <w:right w:val="nil"/>
                <w:between w:val="nil"/>
              </w:pBdr>
              <w:spacing w:after="360" w:line="240" w:lineRule="auto"/>
              <w:rPr>
                <w:rFonts w:ascii="Arial" w:eastAsia="Arial" w:hAnsi="Arial" w:cs="Arial"/>
                <w:color w:val="000000"/>
                <w:sz w:val="20"/>
                <w:szCs w:val="20"/>
              </w:rPr>
            </w:pPr>
            <w:bookmarkStart w:id="1" w:name="_gjdgxs" w:colFirst="0" w:colLast="0"/>
            <w:bookmarkEnd w:id="1"/>
            <w:r>
              <w:rPr>
                <w:rFonts w:ascii="Arial" w:eastAsia="Arial" w:hAnsi="Arial" w:cs="Arial"/>
                <w:noProof/>
                <w:color w:val="000000"/>
                <w:sz w:val="20"/>
                <w:szCs w:val="20"/>
              </w:rPr>
              <w:drawing>
                <wp:inline distT="0" distB="0" distL="0" distR="0">
                  <wp:extent cx="2015490" cy="398780"/>
                  <wp:effectExtent l="0" t="0" r="0" b="0"/>
                  <wp:docPr id="2" name="image1.png" descr="Borås Stad"/>
                  <wp:cNvGraphicFramePr/>
                  <a:graphic xmlns:a="http://schemas.openxmlformats.org/drawingml/2006/main">
                    <a:graphicData uri="http://schemas.openxmlformats.org/drawingml/2006/picture">
                      <pic:pic xmlns:pic="http://schemas.openxmlformats.org/drawingml/2006/picture">
                        <pic:nvPicPr>
                          <pic:cNvPr id="0" name="image1.png" descr="Borås Stad"/>
                          <pic:cNvPicPr preferRelativeResize="0"/>
                        </pic:nvPicPr>
                        <pic:blipFill>
                          <a:blip r:embed="rId7"/>
                          <a:srcRect/>
                          <a:stretch>
                            <a:fillRect/>
                          </a:stretch>
                        </pic:blipFill>
                        <pic:spPr>
                          <a:xfrm>
                            <a:off x="0" y="0"/>
                            <a:ext cx="2015490" cy="398780"/>
                          </a:xfrm>
                          <a:prstGeom prst="rect">
                            <a:avLst/>
                          </a:prstGeom>
                          <a:ln/>
                        </pic:spPr>
                      </pic:pic>
                    </a:graphicData>
                  </a:graphic>
                </wp:inline>
              </w:drawing>
            </w:r>
          </w:p>
          <w:p w:rsidR="000579F5" w:rsidRDefault="000579F5">
            <w:pPr>
              <w:pBdr>
                <w:top w:val="nil"/>
                <w:left w:val="nil"/>
                <w:bottom w:val="nil"/>
                <w:right w:val="nil"/>
                <w:between w:val="nil"/>
              </w:pBdr>
              <w:spacing w:line="240" w:lineRule="auto"/>
              <w:rPr>
                <w:rFonts w:ascii="Arial" w:eastAsia="Arial" w:hAnsi="Arial" w:cs="Arial"/>
                <w:color w:val="000000"/>
                <w:sz w:val="20"/>
                <w:szCs w:val="20"/>
              </w:rPr>
            </w:pPr>
          </w:p>
        </w:tc>
        <w:tc>
          <w:tcPr>
            <w:tcW w:w="3912" w:type="dxa"/>
            <w:gridSpan w:val="2"/>
            <w:vAlign w:val="bottom"/>
          </w:tcPr>
          <w:p w:rsidR="000579F5" w:rsidRDefault="005C0E5C">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SKRIVELSE</w:t>
            </w:r>
          </w:p>
        </w:tc>
        <w:tc>
          <w:tcPr>
            <w:tcW w:w="1304" w:type="dxa"/>
            <w:vAlign w:val="bottom"/>
          </w:tcPr>
          <w:p w:rsidR="000579F5" w:rsidRDefault="005C0E5C">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0579F5" w:rsidRDefault="005C0E5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end"/>
            </w:r>
            <w:r>
              <w:rPr>
                <w:rFonts w:ascii="Arial" w:eastAsia="Arial" w:hAnsi="Arial" w:cs="Arial"/>
                <w:color w:val="000000"/>
                <w:sz w:val="20"/>
                <w:szCs w:val="20"/>
              </w:rPr>
              <w:t>)</w:t>
            </w:r>
          </w:p>
        </w:tc>
      </w:tr>
      <w:tr w:rsidR="000579F5">
        <w:trPr>
          <w:trHeight w:val="480"/>
        </w:trPr>
        <w:tc>
          <w:tcPr>
            <w:tcW w:w="5216" w:type="dxa"/>
            <w:vMerge/>
          </w:tcPr>
          <w:p w:rsidR="000579F5" w:rsidRDefault="000579F5">
            <w:pPr>
              <w:widowControl w:val="0"/>
              <w:pBdr>
                <w:top w:val="nil"/>
                <w:left w:val="nil"/>
                <w:bottom w:val="nil"/>
                <w:right w:val="nil"/>
                <w:between w:val="nil"/>
              </w:pBdr>
              <w:rPr>
                <w:rFonts w:ascii="Arial" w:eastAsia="Arial" w:hAnsi="Arial" w:cs="Arial"/>
                <w:color w:val="000000"/>
                <w:sz w:val="20"/>
                <w:szCs w:val="20"/>
              </w:rPr>
            </w:pPr>
          </w:p>
        </w:tc>
        <w:tc>
          <w:tcPr>
            <w:tcW w:w="1361" w:type="dxa"/>
          </w:tcPr>
          <w:p w:rsidR="000579F5" w:rsidRDefault="005C0E5C">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Datum</w:t>
            </w:r>
          </w:p>
          <w:p w:rsidR="000579F5" w:rsidRDefault="005C0E5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2021-04-26</w:t>
            </w:r>
          </w:p>
        </w:tc>
        <w:tc>
          <w:tcPr>
            <w:tcW w:w="3855" w:type="dxa"/>
            <w:gridSpan w:val="2"/>
          </w:tcPr>
          <w:p w:rsidR="000579F5" w:rsidRDefault="005C0E5C">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Instans</w:t>
            </w:r>
          </w:p>
          <w:p w:rsidR="000579F5" w:rsidRDefault="005C0E5C">
            <w:pPr>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t>Kommunstyrelsen</w:t>
            </w:r>
          </w:p>
          <w:p w:rsidR="000579F5" w:rsidRDefault="005C0E5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Dnr KS 2021-00156 3.5.1.0</w:t>
            </w:r>
          </w:p>
        </w:tc>
      </w:tr>
      <w:tr w:rsidR="000579F5">
        <w:trPr>
          <w:trHeight w:val="480"/>
        </w:trPr>
        <w:tc>
          <w:tcPr>
            <w:tcW w:w="5216" w:type="dxa"/>
            <w:vMerge/>
          </w:tcPr>
          <w:p w:rsidR="000579F5" w:rsidRDefault="000579F5">
            <w:pPr>
              <w:widowControl w:val="0"/>
              <w:pBdr>
                <w:top w:val="nil"/>
                <w:left w:val="nil"/>
                <w:bottom w:val="nil"/>
                <w:right w:val="nil"/>
                <w:between w:val="nil"/>
              </w:pBdr>
              <w:rPr>
                <w:rFonts w:ascii="Arial" w:eastAsia="Arial" w:hAnsi="Arial" w:cs="Arial"/>
                <w:color w:val="000000"/>
                <w:sz w:val="20"/>
                <w:szCs w:val="20"/>
              </w:rPr>
            </w:pPr>
          </w:p>
        </w:tc>
        <w:tc>
          <w:tcPr>
            <w:tcW w:w="1361" w:type="dxa"/>
          </w:tcPr>
          <w:p w:rsidR="000579F5" w:rsidRDefault="000579F5">
            <w:pPr>
              <w:pBdr>
                <w:top w:val="nil"/>
                <w:left w:val="nil"/>
                <w:bottom w:val="nil"/>
                <w:right w:val="nil"/>
                <w:between w:val="nil"/>
              </w:pBdr>
              <w:spacing w:line="240" w:lineRule="auto"/>
              <w:rPr>
                <w:rFonts w:ascii="Arial" w:eastAsia="Arial" w:hAnsi="Arial" w:cs="Arial"/>
                <w:color w:val="000000"/>
                <w:sz w:val="20"/>
                <w:szCs w:val="20"/>
              </w:rPr>
            </w:pPr>
          </w:p>
        </w:tc>
        <w:tc>
          <w:tcPr>
            <w:tcW w:w="3855" w:type="dxa"/>
            <w:gridSpan w:val="2"/>
          </w:tcPr>
          <w:p w:rsidR="000579F5" w:rsidRDefault="000579F5">
            <w:pPr>
              <w:pBdr>
                <w:top w:val="nil"/>
                <w:left w:val="nil"/>
                <w:bottom w:val="nil"/>
                <w:right w:val="nil"/>
                <w:between w:val="nil"/>
              </w:pBdr>
              <w:spacing w:line="240" w:lineRule="auto"/>
              <w:rPr>
                <w:rFonts w:ascii="Arial" w:eastAsia="Arial" w:hAnsi="Arial" w:cs="Arial"/>
                <w:color w:val="000000"/>
                <w:sz w:val="20"/>
                <w:szCs w:val="20"/>
              </w:rPr>
            </w:pPr>
          </w:p>
        </w:tc>
      </w:tr>
      <w:tr w:rsidR="000579F5">
        <w:trPr>
          <w:trHeight w:val="240"/>
        </w:trPr>
        <w:tc>
          <w:tcPr>
            <w:tcW w:w="10432" w:type="dxa"/>
            <w:gridSpan w:val="4"/>
          </w:tcPr>
          <w:p w:rsidR="000579F5" w:rsidRDefault="000579F5">
            <w:pPr>
              <w:pBdr>
                <w:top w:val="nil"/>
                <w:left w:val="nil"/>
                <w:bottom w:val="nil"/>
                <w:right w:val="nil"/>
                <w:between w:val="nil"/>
              </w:pBdr>
              <w:spacing w:line="240" w:lineRule="auto"/>
              <w:rPr>
                <w:rFonts w:ascii="Arial" w:eastAsia="Arial" w:hAnsi="Arial" w:cs="Arial"/>
                <w:color w:val="000000"/>
                <w:sz w:val="20"/>
                <w:szCs w:val="20"/>
              </w:rPr>
            </w:pPr>
          </w:p>
        </w:tc>
      </w:tr>
    </w:tbl>
    <w:p w:rsidR="000579F5" w:rsidRDefault="005C0E5C">
      <w:pPr>
        <w:pStyle w:val="Rubrik1"/>
        <w:jc w:val="center"/>
        <w:rPr>
          <w:b w:val="0"/>
          <w:color w:val="FF0000"/>
        </w:rPr>
      </w:pPr>
      <w:r>
        <w:rPr>
          <w:b w:val="0"/>
          <w:color w:val="FF0000"/>
        </w:rPr>
        <w:t>ALTERNATIVT FÖRSLAG</w:t>
      </w:r>
    </w:p>
    <w:p w:rsidR="000579F5" w:rsidRDefault="005C0E5C">
      <w:pPr>
        <w:pStyle w:val="Rubrik1"/>
      </w:pPr>
      <w:r>
        <w:t>Borås Stads remissyttrande över ansökan från British Academy Schools of Sweden AB om godkännande som huvudman för internationell skola för förskoleklass, grundskolenivå och rätt till bidrag för internationell skola på gymnasienivå i Borås kommun.</w:t>
      </w:r>
    </w:p>
    <w:p w:rsidR="000579F5" w:rsidRDefault="005C0E5C">
      <w:pPr>
        <w:pStyle w:val="Rubrik2"/>
      </w:pPr>
      <w:r>
        <w:t>Kommunsty</w:t>
      </w:r>
      <w:r>
        <w:t>relsens beslut</w:t>
      </w:r>
      <w:bookmarkStart w:id="2" w:name="30j0zll" w:colFirst="0" w:colLast="0"/>
      <w:bookmarkEnd w:id="2"/>
    </w:p>
    <w:p w:rsidR="000579F5" w:rsidRDefault="005C0E5C">
      <w:pPr>
        <w:pStyle w:val="Rubrik2"/>
        <w:rPr>
          <w:rFonts w:ascii="Garamond" w:eastAsia="Garamond" w:hAnsi="Garamond" w:cs="Garamond"/>
          <w:b w:val="0"/>
        </w:rPr>
      </w:pPr>
      <w:r>
        <w:rPr>
          <w:rFonts w:ascii="Garamond" w:eastAsia="Garamond" w:hAnsi="Garamond" w:cs="Garamond"/>
          <w:b w:val="0"/>
        </w:rPr>
        <w:t xml:space="preserve">Borås Stad godkänner remissyttrande om British Academy Schools of Sweden AB ansökan om godkännande som huvudman för internationell skola för förskoleklass, grundskolenivå och rätt till bidrag för internationell skola på gymnasienivå i Borås </w:t>
      </w:r>
      <w:r>
        <w:rPr>
          <w:rFonts w:ascii="Garamond" w:eastAsia="Garamond" w:hAnsi="Garamond" w:cs="Garamond"/>
          <w:b w:val="0"/>
        </w:rPr>
        <w:t>Stad.</w:t>
      </w:r>
    </w:p>
    <w:p w:rsidR="000579F5" w:rsidRDefault="005C0E5C">
      <w:pPr>
        <w:spacing w:after="120"/>
      </w:pPr>
      <w:r>
        <w:t xml:space="preserve">       </w:t>
      </w:r>
      <w:bookmarkStart w:id="3" w:name="1fob9te" w:colFirst="0" w:colLast="0"/>
      <w:bookmarkEnd w:id="3"/>
    </w:p>
    <w:p w:rsidR="000579F5" w:rsidRDefault="005C0E5C">
      <w:pPr>
        <w:pStyle w:val="Rubrik2"/>
      </w:pPr>
      <w:r>
        <w:t>Ärendet i sin helhet</w:t>
      </w:r>
    </w:p>
    <w:p w:rsidR="000579F5" w:rsidRDefault="005C0E5C">
      <w:pPr>
        <w:pBdr>
          <w:top w:val="nil"/>
          <w:left w:val="nil"/>
          <w:bottom w:val="nil"/>
          <w:right w:val="nil"/>
          <w:between w:val="nil"/>
        </w:pBdr>
        <w:spacing w:after="120"/>
        <w:rPr>
          <w:color w:val="000000"/>
        </w:rPr>
      </w:pPr>
      <w:bookmarkStart w:id="4" w:name="3znysh7" w:colFirst="0" w:colLast="0"/>
      <w:bookmarkEnd w:id="4"/>
      <w:r>
        <w:rPr>
          <w:color w:val="000000"/>
          <w:sz w:val="23"/>
          <w:szCs w:val="23"/>
        </w:rPr>
        <w:t>British Academy Schools of Sweden AB</w:t>
      </w:r>
      <w:r>
        <w:rPr>
          <w:color w:val="000000"/>
        </w:rPr>
        <w:t xml:space="preserve"> har ansökt hos Skolinspektionen om att etablera grundskola i Borås samt ansökt om rätt till bidrag för internationell skola på gymnasienivå. Skolan ska heta British International Schoo</w:t>
      </w:r>
      <w:r>
        <w:rPr>
          <w:color w:val="000000"/>
        </w:rPr>
        <w:t xml:space="preserve">l. Lokalen för den planerade skolan är inte angiven i ansökan. </w:t>
      </w:r>
    </w:p>
    <w:p w:rsidR="000579F5" w:rsidRDefault="005C0E5C">
      <w:pPr>
        <w:pStyle w:val="Rubrik3"/>
      </w:pPr>
      <w:r>
        <w:t>Grundskola F-9</w:t>
      </w:r>
    </w:p>
    <w:p w:rsidR="000579F5" w:rsidRDefault="005C0E5C">
      <w:pPr>
        <w:pBdr>
          <w:top w:val="nil"/>
          <w:left w:val="nil"/>
          <w:bottom w:val="nil"/>
          <w:right w:val="nil"/>
          <w:between w:val="nil"/>
        </w:pBdr>
        <w:spacing w:after="120"/>
        <w:rPr>
          <w:color w:val="000000"/>
        </w:rPr>
      </w:pPr>
      <w:r>
        <w:rPr>
          <w:color w:val="000000"/>
        </w:rPr>
        <w:t>Ansökan avseende grundskola omfattar årskurs F-9 med 80 elevplatser läsår 1 och med 600 platser när skolan är fullt utbyggd. Planerad start är läsåret 2022/23 och fullt utbyggd år 2030.</w:t>
      </w:r>
    </w:p>
    <w:p w:rsidR="000579F5" w:rsidRDefault="005C0E5C">
      <w:pPr>
        <w:pBdr>
          <w:top w:val="nil"/>
          <w:left w:val="nil"/>
          <w:bottom w:val="nil"/>
          <w:right w:val="nil"/>
          <w:between w:val="nil"/>
        </w:pBdr>
        <w:spacing w:after="120"/>
        <w:rPr>
          <w:color w:val="000000"/>
        </w:rPr>
      </w:pPr>
      <w:r>
        <w:rPr>
          <w:color w:val="000000"/>
        </w:rPr>
        <w:t>Borås Stads befolkningsprognos visar att antalet elever i grundskola å</w:t>
      </w:r>
      <w:r>
        <w:rPr>
          <w:color w:val="000000"/>
        </w:rPr>
        <w:t>rskurs F-3 minskar medan antalet elever i årskurs 4-9 ökar de kommande fem åren. Totalt sker det en ökning. Kommunen möter elevökningen genom utbyggnad av vissa befintliga skolor samt planerad nybyggnation av skolor. I denna planerade kapacitetsökning inry</w:t>
      </w:r>
      <w:r>
        <w:rPr>
          <w:color w:val="000000"/>
        </w:rPr>
        <w:t>ms hela den prognostiserade elevökningen. Detta innebär att det finns risk för negativa ekonomiska konsekvenser för kommunen vid en etablering av British International School.</w:t>
      </w:r>
    </w:p>
    <w:p w:rsidR="000579F5" w:rsidRDefault="005C0E5C">
      <w:pPr>
        <w:pBdr>
          <w:top w:val="nil"/>
          <w:left w:val="nil"/>
          <w:bottom w:val="nil"/>
          <w:right w:val="nil"/>
          <w:between w:val="nil"/>
        </w:pBdr>
        <w:spacing w:after="120"/>
        <w:rPr>
          <w:color w:val="000000"/>
        </w:rPr>
      </w:pPr>
      <w:r>
        <w:rPr>
          <w:color w:val="000000"/>
        </w:rPr>
        <w:t>Grundskolenämnden har avstått från att yttra sig.</w:t>
      </w:r>
    </w:p>
    <w:p w:rsidR="000579F5" w:rsidRDefault="005C0E5C">
      <w:pPr>
        <w:pBdr>
          <w:top w:val="nil"/>
          <w:left w:val="nil"/>
          <w:bottom w:val="nil"/>
          <w:right w:val="nil"/>
          <w:between w:val="nil"/>
        </w:pBdr>
        <w:spacing w:after="120"/>
        <w:rPr>
          <w:color w:val="FF0000"/>
        </w:rPr>
      </w:pPr>
      <w:r>
        <w:rPr>
          <w:color w:val="000000"/>
        </w:rPr>
        <w:lastRenderedPageBreak/>
        <w:t>Borås Stad ser i grunden posit</w:t>
      </w:r>
      <w:r>
        <w:rPr>
          <w:color w:val="000000"/>
        </w:rPr>
        <w:t xml:space="preserve">ivt på konkurrens och har genom det aktiva obligatoriska skolvalet redan en levande konkurrens mellan skolor i staden, såväl mellan fristående som mellan skolor i egen regi. </w:t>
      </w:r>
    </w:p>
    <w:p w:rsidR="000579F5" w:rsidRDefault="000579F5">
      <w:pPr>
        <w:pBdr>
          <w:top w:val="nil"/>
          <w:left w:val="nil"/>
          <w:bottom w:val="nil"/>
          <w:right w:val="nil"/>
          <w:between w:val="nil"/>
        </w:pBdr>
        <w:spacing w:after="120"/>
        <w:rPr>
          <w:color w:val="FF0000"/>
        </w:rPr>
      </w:pPr>
    </w:p>
    <w:p w:rsidR="000579F5" w:rsidRDefault="005C0E5C">
      <w:pPr>
        <w:pStyle w:val="Rubrik3"/>
      </w:pPr>
      <w:r>
        <w:t>Gymnasium</w:t>
      </w:r>
    </w:p>
    <w:p w:rsidR="000579F5" w:rsidRDefault="005C0E5C">
      <w:pPr>
        <w:pBdr>
          <w:top w:val="nil"/>
          <w:left w:val="nil"/>
          <w:bottom w:val="nil"/>
          <w:right w:val="nil"/>
          <w:between w:val="nil"/>
        </w:pBdr>
        <w:spacing w:after="120"/>
        <w:rPr>
          <w:color w:val="000000"/>
        </w:rPr>
      </w:pPr>
      <w:r>
        <w:rPr>
          <w:color w:val="000000"/>
        </w:rPr>
        <w:t xml:space="preserve">Ansökan som avser nyetablering på gymnasienivå, enligt internationell </w:t>
      </w:r>
      <w:r>
        <w:rPr>
          <w:color w:val="000000"/>
        </w:rPr>
        <w:t>läroplan The International Baccalaureate (IB). Ansökan avser 20 elevplatser läsår 1 och med 200 platser när skolan är fullt utbyggd. Planerad start är läsåret 2022/23 och fullt utbyggd år 2030.</w:t>
      </w:r>
    </w:p>
    <w:p w:rsidR="000579F5" w:rsidRDefault="005C0E5C">
      <w:pPr>
        <w:pBdr>
          <w:top w:val="nil"/>
          <w:left w:val="nil"/>
          <w:bottom w:val="nil"/>
          <w:right w:val="nil"/>
          <w:between w:val="nil"/>
        </w:pBdr>
        <w:spacing w:after="120"/>
        <w:rPr>
          <w:color w:val="000000"/>
        </w:rPr>
      </w:pPr>
      <w:r>
        <w:rPr>
          <w:color w:val="000000"/>
        </w:rPr>
        <w:t>Den sökta utbildningen bedrivs i kommunal regi och kommunen ha</w:t>
      </w:r>
      <w:r>
        <w:rPr>
          <w:color w:val="000000"/>
        </w:rPr>
        <w:t xml:space="preserve">r inför läsåret 2021/22 utökat antalet platser från 30 till 40. Ingen fristående skola i kommunen erbjuder IB idag. </w:t>
      </w:r>
    </w:p>
    <w:p w:rsidR="000579F5" w:rsidRDefault="005C0E5C">
      <w:pPr>
        <w:pBdr>
          <w:top w:val="nil"/>
          <w:left w:val="nil"/>
          <w:bottom w:val="nil"/>
          <w:right w:val="nil"/>
          <w:between w:val="nil"/>
        </w:pBdr>
        <w:spacing w:after="120"/>
        <w:rPr>
          <w:color w:val="000000"/>
        </w:rPr>
      </w:pPr>
      <w:r>
        <w:rPr>
          <w:color w:val="000000"/>
        </w:rPr>
        <w:t>Enligt befolkningsprognosen finns det 1 300 sextonåringar 2020. Därefter beräknas elevantalet att årligen öka fram till 2026. Motsvarande u</w:t>
      </w:r>
      <w:r>
        <w:rPr>
          <w:color w:val="000000"/>
        </w:rPr>
        <w:t xml:space="preserve">tveckling förväntas i övriga kommuner i Sjuhärads samverkansområde och kan komma att påverka elevantalet i Borås Stads gymnasieskolor. Ansökningar till programmet har de senaste åren varit lägre än antalet platser. </w:t>
      </w:r>
    </w:p>
    <w:p w:rsidR="000579F5" w:rsidRDefault="005C0E5C">
      <w:pPr>
        <w:pBdr>
          <w:top w:val="nil"/>
          <w:left w:val="nil"/>
          <w:bottom w:val="nil"/>
          <w:right w:val="nil"/>
          <w:between w:val="nil"/>
        </w:pBdr>
        <w:spacing w:after="120"/>
        <w:rPr>
          <w:color w:val="000000"/>
        </w:rPr>
      </w:pPr>
      <w:r>
        <w:rPr>
          <w:color w:val="000000"/>
        </w:rPr>
        <w:t>Samverkanskommunerna är Bollebygd, Herrl</w:t>
      </w:r>
      <w:r>
        <w:rPr>
          <w:color w:val="000000"/>
        </w:rPr>
        <w:t>junga, Mark, Svenljunga, Tranemo, Ulricehamn och Vårgårda.</w:t>
      </w:r>
    </w:p>
    <w:p w:rsidR="000579F5" w:rsidRDefault="005C0E5C">
      <w:pPr>
        <w:pBdr>
          <w:top w:val="nil"/>
          <w:left w:val="nil"/>
          <w:bottom w:val="nil"/>
          <w:right w:val="nil"/>
          <w:between w:val="nil"/>
        </w:pBdr>
        <w:spacing w:after="120"/>
        <w:rPr>
          <w:color w:val="000000"/>
        </w:rPr>
      </w:pPr>
      <w:r>
        <w:rPr>
          <w:color w:val="000000"/>
        </w:rPr>
        <w:t>Gymnasie- och vuxenutbildningsnämnden har för avsikt att möta ökat elevantal och tillgodose elevernas förstahandsval i högre utsträckning genom en större och mer flexibel organisation inom befintli</w:t>
      </w:r>
      <w:r>
        <w:rPr>
          <w:color w:val="000000"/>
        </w:rPr>
        <w:t>ga gymnasieskolor. Det sker genom att planera för lokalmässig utbyggnad och en flexiblare antagningsorganisation. Nämndens bedömning är att det inte finns elevunderlag för ytterligare en IB-utbildning i Borås. En ny fristående aktör inom IB-utbildningen sk</w:t>
      </w:r>
      <w:r>
        <w:rPr>
          <w:color w:val="000000"/>
        </w:rPr>
        <w:t>ulle göra det svårare att planera och dimensionera kommunens IB-utbildning. En eventuell etablering skulle kunna leda till ekonomiska och organisatoriska konsekvenser.</w:t>
      </w:r>
    </w:p>
    <w:p w:rsidR="000579F5" w:rsidRDefault="005C0E5C">
      <w:pPr>
        <w:pBdr>
          <w:top w:val="nil"/>
          <w:left w:val="nil"/>
          <w:bottom w:val="nil"/>
          <w:right w:val="nil"/>
          <w:between w:val="nil"/>
        </w:pBdr>
        <w:spacing w:after="120"/>
        <w:rPr>
          <w:color w:val="000000"/>
        </w:rPr>
      </w:pPr>
      <w:r>
        <w:rPr>
          <w:color w:val="FF0000"/>
        </w:rPr>
        <w:t>Kommunstyrelsen ser positivt på den inkomna förfrågan från British Academy Schools of Sw</w:t>
      </w:r>
      <w:r>
        <w:rPr>
          <w:color w:val="FF0000"/>
        </w:rPr>
        <w:t>eden AB. Fler aktörer som bedriver gymnasieverksamhet i Borås är positivt. Det skulle kunna medföra att det snarare blir enklare för den kommunala organisationen att omhänderta den prognostiserade ökningen av antalet 16-åringar på ett effektivt sätt, genom</w:t>
      </w:r>
      <w:r>
        <w:rPr>
          <w:color w:val="FF0000"/>
        </w:rPr>
        <w:t xml:space="preserve"> att till exempel behovet av ny- eller ombyggnationer skulle kunna minska.</w:t>
      </w:r>
      <w:r>
        <w:rPr>
          <w:color w:val="000000"/>
        </w:rPr>
        <w:br/>
      </w:r>
      <w:r>
        <w:rPr>
          <w:color w:val="000000"/>
        </w:rPr>
        <w:br/>
        <w:t xml:space="preserve">Borås Stad anser slutligen att ett brett utbud av pedagogiska inriktningar totalt sett främjar elevers lärande </w:t>
      </w:r>
      <w:r>
        <w:rPr>
          <w:color w:val="FF0000"/>
        </w:rPr>
        <w:t>samt att det finns flera i Borås som tillhandahåller IB-programmet.</w:t>
      </w:r>
      <w:r>
        <w:rPr>
          <w:color w:val="000000"/>
        </w:rPr>
        <w:t xml:space="preserve"> O</w:t>
      </w:r>
      <w:r>
        <w:rPr>
          <w:color w:val="000000"/>
        </w:rPr>
        <w:t xml:space="preserve">m British Academy Schools of Sweden AB kan bidra till denna diversifiering, är det positivt.    </w:t>
      </w:r>
      <w:bookmarkStart w:id="5" w:name="2et92p0" w:colFirst="0" w:colLast="0"/>
      <w:bookmarkEnd w:id="5"/>
      <w:r>
        <w:rPr>
          <w:color w:val="000000"/>
        </w:rPr>
        <w:t xml:space="preserve">           </w:t>
      </w:r>
    </w:p>
    <w:p w:rsidR="000579F5" w:rsidRDefault="005C0E5C">
      <w:pPr>
        <w:pStyle w:val="Rubrik2"/>
      </w:pPr>
      <w:r>
        <w:t>Beslutsunderlag</w:t>
      </w:r>
    </w:p>
    <w:p w:rsidR="000579F5" w:rsidRDefault="005C0E5C">
      <w:pPr>
        <w:pBdr>
          <w:top w:val="nil"/>
          <w:left w:val="nil"/>
          <w:bottom w:val="nil"/>
          <w:right w:val="nil"/>
          <w:between w:val="nil"/>
        </w:pBdr>
        <w:rPr>
          <w:color w:val="000000"/>
        </w:rPr>
      </w:pPr>
      <w:bookmarkStart w:id="6" w:name="tyjcwt" w:colFirst="0" w:colLast="0"/>
      <w:bookmarkEnd w:id="6"/>
      <w:r>
        <w:rPr>
          <w:color w:val="000000"/>
        </w:rPr>
        <w:t>1. Bilaga 1 Antal utbildningsplatser i kommunal gymnasieskola</w:t>
      </w:r>
    </w:p>
    <w:p w:rsidR="000579F5" w:rsidRDefault="005C0E5C">
      <w:pPr>
        <w:pBdr>
          <w:top w:val="nil"/>
          <w:left w:val="nil"/>
          <w:bottom w:val="nil"/>
          <w:right w:val="nil"/>
          <w:between w:val="nil"/>
        </w:pBdr>
        <w:rPr>
          <w:color w:val="000000"/>
        </w:rPr>
      </w:pPr>
      <w:r>
        <w:rPr>
          <w:color w:val="000000"/>
        </w:rPr>
        <w:t>2. Bilaga 2 Planerat programutbud 2021/2022</w:t>
      </w:r>
    </w:p>
    <w:p w:rsidR="000579F5" w:rsidRDefault="005C0E5C">
      <w:pPr>
        <w:pBdr>
          <w:top w:val="nil"/>
          <w:left w:val="nil"/>
          <w:bottom w:val="nil"/>
          <w:right w:val="nil"/>
          <w:between w:val="nil"/>
        </w:pBdr>
        <w:rPr>
          <w:color w:val="000000"/>
        </w:rPr>
      </w:pPr>
      <w:r>
        <w:rPr>
          <w:color w:val="000000"/>
        </w:rPr>
        <w:t>3. Bilaga 3 Befolkningsprognos 16-åringar</w:t>
      </w:r>
    </w:p>
    <w:p w:rsidR="000579F5" w:rsidRDefault="005C0E5C">
      <w:pPr>
        <w:pBdr>
          <w:top w:val="nil"/>
          <w:left w:val="nil"/>
          <w:bottom w:val="nil"/>
          <w:right w:val="nil"/>
          <w:between w:val="nil"/>
        </w:pBdr>
        <w:rPr>
          <w:color w:val="000000"/>
        </w:rPr>
      </w:pPr>
      <w:r>
        <w:rPr>
          <w:color w:val="000000"/>
        </w:rPr>
        <w:t xml:space="preserve">4. Bilaga 4 Befolkningsprognos F - 9 </w:t>
      </w:r>
    </w:p>
    <w:p w:rsidR="000579F5" w:rsidRDefault="005C0E5C">
      <w:pPr>
        <w:pBdr>
          <w:top w:val="nil"/>
          <w:left w:val="nil"/>
          <w:bottom w:val="nil"/>
          <w:right w:val="nil"/>
          <w:between w:val="nil"/>
        </w:pBdr>
        <w:rPr>
          <w:color w:val="000000"/>
        </w:rPr>
      </w:pPr>
      <w:r>
        <w:rPr>
          <w:color w:val="000000"/>
        </w:rPr>
        <w:t>5. Bilaga 5 Grundskolor i Borås Stad</w:t>
      </w:r>
    </w:p>
    <w:p w:rsidR="000579F5" w:rsidRDefault="005C0E5C">
      <w:pPr>
        <w:pBdr>
          <w:top w:val="nil"/>
          <w:left w:val="nil"/>
          <w:bottom w:val="nil"/>
          <w:right w:val="nil"/>
          <w:between w:val="nil"/>
        </w:pBdr>
        <w:rPr>
          <w:color w:val="000000"/>
        </w:rPr>
      </w:pPr>
      <w:r>
        <w:rPr>
          <w:color w:val="000000"/>
        </w:rPr>
        <w:t>6. Bilaga 6 Sammanställning elever Borås Stad F – 9</w:t>
      </w:r>
    </w:p>
    <w:p w:rsidR="000579F5" w:rsidRDefault="005C0E5C">
      <w:pPr>
        <w:pBdr>
          <w:top w:val="nil"/>
          <w:left w:val="nil"/>
          <w:bottom w:val="nil"/>
          <w:right w:val="nil"/>
          <w:between w:val="nil"/>
        </w:pBdr>
        <w:rPr>
          <w:color w:val="000000"/>
        </w:rPr>
      </w:pPr>
      <w:r>
        <w:rPr>
          <w:color w:val="000000"/>
        </w:rPr>
        <w:t>7. Yttrande från Gymnasie- och vuxenutbildningsnämnden</w:t>
      </w:r>
    </w:p>
    <w:p w:rsidR="000579F5" w:rsidRDefault="005C0E5C">
      <w:pPr>
        <w:pBdr>
          <w:top w:val="nil"/>
          <w:left w:val="nil"/>
          <w:bottom w:val="nil"/>
          <w:right w:val="nil"/>
          <w:between w:val="nil"/>
        </w:pBdr>
        <w:rPr>
          <w:color w:val="000000"/>
        </w:rPr>
      </w:pPr>
      <w:r>
        <w:rPr>
          <w:color w:val="000000"/>
        </w:rPr>
        <w:t>8. Yttrande från Grundskolenämnd</w:t>
      </w:r>
      <w:r>
        <w:rPr>
          <w:color w:val="000000"/>
        </w:rPr>
        <w:t>en</w:t>
      </w:r>
    </w:p>
    <w:p w:rsidR="000579F5" w:rsidRDefault="005C0E5C">
      <w:pPr>
        <w:pBdr>
          <w:top w:val="nil"/>
          <w:left w:val="nil"/>
          <w:bottom w:val="nil"/>
          <w:right w:val="nil"/>
          <w:between w:val="nil"/>
        </w:pBdr>
        <w:rPr>
          <w:color w:val="000000"/>
        </w:rPr>
      </w:pPr>
      <w:r>
        <w:rPr>
          <w:color w:val="000000"/>
        </w:rPr>
        <w:t>9. Remissyttrande till Skolinspektionen</w:t>
      </w:r>
    </w:p>
    <w:p w:rsidR="000579F5" w:rsidRDefault="005C0E5C">
      <w:pPr>
        <w:pBdr>
          <w:top w:val="nil"/>
          <w:left w:val="nil"/>
          <w:bottom w:val="nil"/>
          <w:right w:val="nil"/>
          <w:between w:val="nil"/>
        </w:pBdr>
        <w:rPr>
          <w:color w:val="000000"/>
        </w:rPr>
      </w:pPr>
      <w:r>
        <w:rPr>
          <w:color w:val="000000"/>
        </w:rPr>
        <w:t>10. Gymnasie- och vuxenutbildningsnämndens beslut</w:t>
      </w:r>
    </w:p>
    <w:p w:rsidR="000579F5" w:rsidRDefault="005C0E5C">
      <w:pPr>
        <w:pBdr>
          <w:top w:val="nil"/>
          <w:left w:val="nil"/>
          <w:bottom w:val="nil"/>
          <w:right w:val="nil"/>
          <w:between w:val="nil"/>
        </w:pBdr>
        <w:rPr>
          <w:color w:val="000000"/>
        </w:rPr>
      </w:pPr>
      <w:r>
        <w:rPr>
          <w:color w:val="000000"/>
        </w:rPr>
        <w:t>11. Bilaga till Gymnasie- och vuxenutbildningsnämndens beslut</w:t>
      </w:r>
    </w:p>
    <w:p w:rsidR="000579F5" w:rsidRDefault="005C0E5C">
      <w:pPr>
        <w:pBdr>
          <w:top w:val="nil"/>
          <w:left w:val="nil"/>
          <w:bottom w:val="nil"/>
          <w:right w:val="nil"/>
          <w:between w:val="nil"/>
        </w:pBdr>
        <w:rPr>
          <w:color w:val="000000"/>
        </w:rPr>
      </w:pPr>
      <w:r>
        <w:rPr>
          <w:color w:val="000000"/>
        </w:rPr>
        <w:tab/>
      </w:r>
      <w:r>
        <w:rPr>
          <w:color w:val="000000"/>
        </w:rPr>
        <w:tab/>
      </w:r>
      <w:bookmarkStart w:id="7" w:name="3dy6vkm" w:colFirst="0" w:colLast="0"/>
      <w:bookmarkEnd w:id="7"/>
    </w:p>
    <w:p w:rsidR="000579F5" w:rsidRDefault="005C0E5C">
      <w:pPr>
        <w:pStyle w:val="Rubrik2"/>
      </w:pPr>
      <w:r>
        <w:t>Beslutet expedieras till</w:t>
      </w:r>
    </w:p>
    <w:p w:rsidR="000579F5" w:rsidRDefault="005C0E5C">
      <w:pPr>
        <w:numPr>
          <w:ilvl w:val="0"/>
          <w:numId w:val="1"/>
        </w:numPr>
        <w:pBdr>
          <w:top w:val="nil"/>
          <w:left w:val="nil"/>
          <w:bottom w:val="nil"/>
          <w:right w:val="nil"/>
          <w:between w:val="nil"/>
        </w:pBdr>
      </w:pPr>
      <w:r>
        <w:rPr>
          <w:color w:val="000000"/>
        </w:rPr>
        <w:t>Grundskolenämnden</w:t>
      </w:r>
    </w:p>
    <w:p w:rsidR="000579F5" w:rsidRDefault="005C0E5C">
      <w:pPr>
        <w:numPr>
          <w:ilvl w:val="0"/>
          <w:numId w:val="1"/>
        </w:numPr>
        <w:pBdr>
          <w:top w:val="nil"/>
          <w:left w:val="nil"/>
          <w:bottom w:val="nil"/>
          <w:right w:val="nil"/>
          <w:between w:val="nil"/>
        </w:pBdr>
      </w:pPr>
      <w:r>
        <w:rPr>
          <w:color w:val="000000"/>
        </w:rPr>
        <w:t>Gymnasie- och vuxenutbildningsnämnden</w:t>
      </w:r>
    </w:p>
    <w:p w:rsidR="000579F5" w:rsidRDefault="000579F5">
      <w:pPr>
        <w:pBdr>
          <w:top w:val="nil"/>
          <w:left w:val="nil"/>
          <w:bottom w:val="nil"/>
          <w:right w:val="nil"/>
          <w:between w:val="nil"/>
        </w:pBdr>
        <w:rPr>
          <w:color w:val="000000"/>
        </w:rPr>
      </w:pPr>
    </w:p>
    <w:p w:rsidR="000579F5" w:rsidRDefault="000579F5">
      <w:pPr>
        <w:pBdr>
          <w:top w:val="nil"/>
          <w:left w:val="nil"/>
          <w:bottom w:val="nil"/>
          <w:right w:val="nil"/>
          <w:between w:val="nil"/>
        </w:pBdr>
        <w:rPr>
          <w:color w:val="000000"/>
        </w:rPr>
      </w:pPr>
    </w:p>
    <w:p w:rsidR="000579F5" w:rsidRDefault="000579F5">
      <w:pPr>
        <w:pBdr>
          <w:top w:val="nil"/>
          <w:left w:val="nil"/>
          <w:bottom w:val="nil"/>
          <w:right w:val="nil"/>
          <w:between w:val="nil"/>
        </w:pBdr>
        <w:spacing w:after="120"/>
        <w:rPr>
          <w:color w:val="808080"/>
        </w:rPr>
      </w:pPr>
    </w:p>
    <w:p w:rsidR="000579F5" w:rsidRDefault="005C0E5C">
      <w:pPr>
        <w:pBdr>
          <w:top w:val="nil"/>
          <w:left w:val="nil"/>
          <w:bottom w:val="nil"/>
          <w:right w:val="nil"/>
          <w:between w:val="nil"/>
        </w:pBdr>
        <w:spacing w:after="120"/>
        <w:rPr>
          <w:b/>
        </w:rPr>
      </w:pPr>
      <w:r>
        <w:rPr>
          <w:b/>
        </w:rPr>
        <w:t>Allianspartierna i Borås</w:t>
      </w:r>
    </w:p>
    <w:p w:rsidR="000579F5" w:rsidRDefault="005C0E5C">
      <w:pPr>
        <w:pBdr>
          <w:top w:val="nil"/>
          <w:left w:val="nil"/>
          <w:bottom w:val="nil"/>
          <w:right w:val="nil"/>
          <w:between w:val="nil"/>
        </w:pBdr>
        <w:spacing w:after="120"/>
        <w:rPr>
          <w:b/>
        </w:rPr>
      </w:pPr>
      <w:r>
        <w:rPr>
          <w:b/>
        </w:rPr>
        <w:t>Moderaterna</w:t>
      </w:r>
      <w:r>
        <w:rPr>
          <w:b/>
        </w:rPr>
        <w:tab/>
      </w:r>
      <w:r>
        <w:rPr>
          <w:b/>
        </w:rPr>
        <w:tab/>
      </w:r>
      <w:r>
        <w:rPr>
          <w:b/>
        </w:rPr>
        <w:tab/>
      </w:r>
      <w:r>
        <w:rPr>
          <w:b/>
        </w:rPr>
        <w:tab/>
      </w:r>
      <w:r>
        <w:rPr>
          <w:b/>
        </w:rPr>
        <w:tab/>
        <w:t>Kristdemokraterna</w:t>
      </w:r>
      <w:r>
        <w:rPr>
          <w:b/>
        </w:rPr>
        <w:br/>
      </w:r>
    </w:p>
    <w:p w:rsidR="000579F5" w:rsidRDefault="005C0E5C">
      <w:pPr>
        <w:pBdr>
          <w:top w:val="nil"/>
          <w:left w:val="nil"/>
          <w:bottom w:val="nil"/>
          <w:right w:val="nil"/>
          <w:between w:val="nil"/>
        </w:pBdr>
        <w:spacing w:after="120"/>
      </w:pPr>
      <w:r>
        <w:br/>
        <w:t>Annette Carlson</w:t>
      </w:r>
      <w:r>
        <w:tab/>
      </w:r>
      <w:r>
        <w:tab/>
      </w:r>
      <w:r>
        <w:tab/>
      </w:r>
      <w:r>
        <w:tab/>
        <w:t xml:space="preserve">Niklas Arvidsson </w:t>
      </w:r>
    </w:p>
    <w:p w:rsidR="000579F5" w:rsidRDefault="000579F5">
      <w:pPr>
        <w:spacing w:line="240" w:lineRule="auto"/>
      </w:pPr>
    </w:p>
    <w:sectPr w:rsidR="000579F5">
      <w:headerReference w:type="default" r:id="rId8"/>
      <w:footerReference w:type="default" r:id="rId9"/>
      <w:headerReference w:type="first" r:id="rId10"/>
      <w:footerReference w:type="first" r:id="rId11"/>
      <w:pgSz w:w="11906" w:h="16838"/>
      <w:pgMar w:top="454" w:right="2041" w:bottom="397" w:left="2438" w:header="45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0E5C">
      <w:pPr>
        <w:spacing w:line="240" w:lineRule="auto"/>
      </w:pPr>
      <w:r>
        <w:separator/>
      </w:r>
    </w:p>
  </w:endnote>
  <w:endnote w:type="continuationSeparator" w:id="0">
    <w:p w:rsidR="00000000" w:rsidRDefault="005C0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5" w:rsidRDefault="005C0E5C">
    <w:pPr>
      <w:jc w:val="center"/>
      <w:rPr>
        <w:rFonts w:ascii="Arial" w:eastAsia="Arial" w:hAnsi="Arial" w:cs="Arial"/>
        <w:color w:val="000000"/>
        <w:sz w:val="16"/>
        <w:szCs w:val="16"/>
      </w:rPr>
    </w:pPr>
    <w:r>
      <w:rPr>
        <w:rFonts w:ascii="Arial" w:eastAsia="Arial" w:hAnsi="Arial" w:cs="Arial"/>
        <w:noProof/>
        <w:sz w:val="22"/>
        <w:szCs w:val="22"/>
      </w:rPr>
      <w:drawing>
        <wp:inline distT="114300" distB="114300" distL="114300" distR="114300">
          <wp:extent cx="1610017" cy="7461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0017" cy="746106"/>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5" w:rsidRDefault="000579F5">
    <w:pPr>
      <w:pBdr>
        <w:top w:val="nil"/>
        <w:left w:val="nil"/>
        <w:bottom w:val="nil"/>
        <w:right w:val="nil"/>
        <w:between w:val="nil"/>
      </w:pBdr>
      <w:spacing w:before="240" w:line="240" w:lineRule="auto"/>
      <w:ind w:left="-1304" w:right="-1645"/>
      <w:rPr>
        <w:rFonts w:ascii="Arial" w:eastAsia="Arial" w:hAnsi="Arial" w:cs="Arial"/>
        <w:color w:val="000000"/>
        <w:sz w:val="16"/>
        <w:szCs w:val="16"/>
      </w:rPr>
    </w:pPr>
  </w:p>
  <w:tbl>
    <w:tblPr>
      <w:tblStyle w:val="a1"/>
      <w:tblW w:w="10433" w:type="dxa"/>
      <w:tblInd w:w="-1304" w:type="dxa"/>
      <w:tblLayout w:type="fixed"/>
      <w:tblLook w:val="0000" w:firstRow="0" w:lastRow="0" w:firstColumn="0" w:lastColumn="0" w:noHBand="0" w:noVBand="0"/>
    </w:tblPr>
    <w:tblGrid>
      <w:gridCol w:w="2244"/>
      <w:gridCol w:w="2247"/>
      <w:gridCol w:w="2228"/>
      <w:gridCol w:w="2411"/>
      <w:gridCol w:w="1303"/>
    </w:tblGrid>
    <w:tr w:rsidR="000579F5">
      <w:trPr>
        <w:trHeight w:val="480"/>
      </w:trPr>
      <w:tc>
        <w:tcPr>
          <w:tcW w:w="10433" w:type="dxa"/>
          <w:gridSpan w:val="5"/>
          <w:tcBorders>
            <w:bottom w:val="single" w:sz="4" w:space="0" w:color="000000"/>
          </w:tcBorders>
          <w:vAlign w:val="bottom"/>
        </w:tcPr>
        <w:p w:rsidR="000579F5" w:rsidRDefault="005C0E5C">
          <w:pPr>
            <w:pBdr>
              <w:top w:val="nil"/>
              <w:left w:val="nil"/>
              <w:bottom w:val="nil"/>
              <w:right w:val="nil"/>
              <w:between w:val="nil"/>
            </w:pBdr>
            <w:spacing w:after="60" w:line="240" w:lineRule="auto"/>
            <w:rPr>
              <w:rFonts w:ascii="Arial" w:eastAsia="Arial" w:hAnsi="Arial" w:cs="Arial"/>
              <w:color w:val="000000"/>
              <w:sz w:val="20"/>
              <w:szCs w:val="20"/>
            </w:rPr>
          </w:pPr>
          <w:r>
            <w:rPr>
              <w:rFonts w:ascii="Arial" w:eastAsia="Arial" w:hAnsi="Arial" w:cs="Arial"/>
              <w:color w:val="000000"/>
              <w:sz w:val="20"/>
              <w:szCs w:val="20"/>
            </w:rPr>
            <w:t>Kommunstyrelsen</w:t>
          </w:r>
        </w:p>
      </w:tc>
    </w:tr>
    <w:tr w:rsidR="000579F5">
      <w:trPr>
        <w:trHeight w:val="480"/>
      </w:trPr>
      <w:tc>
        <w:tcPr>
          <w:tcW w:w="2244" w:type="dxa"/>
          <w:tcBorders>
            <w:top w:val="single" w:sz="4" w:space="0" w:color="000000"/>
          </w:tcBorders>
        </w:tcPr>
        <w:p w:rsidR="000579F5" w:rsidRDefault="005C0E5C">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Postadress</w:t>
          </w:r>
        </w:p>
        <w:p w:rsidR="000579F5" w:rsidRDefault="005C0E5C">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501 80 Borås</w:t>
          </w:r>
        </w:p>
      </w:tc>
      <w:tc>
        <w:tcPr>
          <w:tcW w:w="2247" w:type="dxa"/>
          <w:tcBorders>
            <w:top w:val="single" w:sz="4" w:space="0" w:color="000000"/>
          </w:tcBorders>
        </w:tcPr>
        <w:p w:rsidR="000579F5" w:rsidRDefault="005C0E5C">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Besöksadress</w:t>
          </w:r>
        </w:p>
        <w:p w:rsidR="000579F5" w:rsidRDefault="005C0E5C">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Kungsgatan 55</w:t>
          </w:r>
        </w:p>
      </w:tc>
      <w:tc>
        <w:tcPr>
          <w:tcW w:w="2228" w:type="dxa"/>
          <w:tcBorders>
            <w:top w:val="single" w:sz="4" w:space="0" w:color="000000"/>
          </w:tcBorders>
        </w:tcPr>
        <w:p w:rsidR="000579F5" w:rsidRDefault="005C0E5C">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Hemsida</w:t>
          </w:r>
        </w:p>
        <w:p w:rsidR="000579F5" w:rsidRDefault="005C0E5C">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boras.se</w:t>
          </w:r>
        </w:p>
      </w:tc>
      <w:tc>
        <w:tcPr>
          <w:tcW w:w="2411" w:type="dxa"/>
          <w:tcBorders>
            <w:top w:val="single" w:sz="4" w:space="0" w:color="000000"/>
          </w:tcBorders>
        </w:tcPr>
        <w:p w:rsidR="000579F5" w:rsidRDefault="005C0E5C">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E-post</w:t>
          </w:r>
        </w:p>
        <w:p w:rsidR="000579F5" w:rsidRDefault="005C0E5C">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boras.stad@boras.se</w:t>
          </w:r>
        </w:p>
      </w:tc>
      <w:tc>
        <w:tcPr>
          <w:tcW w:w="1303" w:type="dxa"/>
          <w:tcBorders>
            <w:top w:val="single" w:sz="4" w:space="0" w:color="000000"/>
          </w:tcBorders>
        </w:tcPr>
        <w:p w:rsidR="000579F5" w:rsidRDefault="005C0E5C">
          <w:pPr>
            <w:pBdr>
              <w:top w:val="nil"/>
              <w:left w:val="nil"/>
              <w:bottom w:val="nil"/>
              <w:right w:val="nil"/>
              <w:between w:val="nil"/>
            </w:pBdr>
            <w:spacing w:before="60" w:line="240" w:lineRule="auto"/>
            <w:rPr>
              <w:rFonts w:ascii="Arial" w:eastAsia="Arial" w:hAnsi="Arial" w:cs="Arial"/>
              <w:color w:val="000000"/>
              <w:sz w:val="12"/>
              <w:szCs w:val="12"/>
            </w:rPr>
          </w:pPr>
          <w:r>
            <w:rPr>
              <w:rFonts w:ascii="Arial" w:eastAsia="Arial" w:hAnsi="Arial" w:cs="Arial"/>
              <w:color w:val="000000"/>
              <w:sz w:val="12"/>
              <w:szCs w:val="12"/>
            </w:rPr>
            <w:t>Telefon</w:t>
          </w:r>
        </w:p>
        <w:p w:rsidR="000579F5" w:rsidRDefault="005C0E5C">
          <w:pPr>
            <w:pBdr>
              <w:top w:val="nil"/>
              <w:left w:val="nil"/>
              <w:bottom w:val="nil"/>
              <w:right w:val="nil"/>
              <w:between w:val="nil"/>
            </w:pBdr>
            <w:spacing w:line="240" w:lineRule="auto"/>
            <w:rPr>
              <w:rFonts w:ascii="Arial" w:eastAsia="Arial" w:hAnsi="Arial" w:cs="Arial"/>
              <w:color w:val="000000"/>
              <w:sz w:val="16"/>
              <w:szCs w:val="16"/>
            </w:rPr>
          </w:pPr>
          <w:r>
            <w:rPr>
              <w:rFonts w:ascii="Arial" w:eastAsia="Arial" w:hAnsi="Arial" w:cs="Arial"/>
              <w:color w:val="000000"/>
              <w:sz w:val="16"/>
              <w:szCs w:val="16"/>
            </w:rPr>
            <w:t>033-35 70 00 vxl</w:t>
          </w:r>
        </w:p>
      </w:tc>
    </w:tr>
  </w:tbl>
  <w:p w:rsidR="000579F5" w:rsidRDefault="000579F5">
    <w:pPr>
      <w:pBdr>
        <w:top w:val="nil"/>
        <w:left w:val="nil"/>
        <w:bottom w:val="nil"/>
        <w:right w:val="nil"/>
        <w:between w:val="nil"/>
      </w:pBdr>
      <w:spacing w:line="240" w:lineRule="auto"/>
      <w:rPr>
        <w:rFonts w:ascii="Arial" w:eastAsia="Arial" w:hAnsi="Arial" w:cs="Arial"/>
        <w:color w:val="000000"/>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0E5C">
      <w:pPr>
        <w:spacing w:line="240" w:lineRule="auto"/>
      </w:pPr>
      <w:r>
        <w:separator/>
      </w:r>
    </w:p>
  </w:footnote>
  <w:footnote w:type="continuationSeparator" w:id="0">
    <w:p w:rsidR="00000000" w:rsidRDefault="005C0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5" w:rsidRDefault="000579F5">
    <w:pPr>
      <w:widowControl w:val="0"/>
      <w:pBdr>
        <w:top w:val="nil"/>
        <w:left w:val="nil"/>
        <w:bottom w:val="nil"/>
        <w:right w:val="nil"/>
        <w:between w:val="nil"/>
      </w:pBdr>
      <w:rPr>
        <w:rFonts w:ascii="Arial" w:eastAsia="Arial" w:hAnsi="Arial" w:cs="Arial"/>
        <w:color w:val="000000"/>
        <w:sz w:val="2"/>
        <w:szCs w:val="2"/>
      </w:rPr>
    </w:pPr>
  </w:p>
  <w:tbl>
    <w:tblPr>
      <w:tblStyle w:val="a0"/>
      <w:tblW w:w="10432" w:type="dxa"/>
      <w:tblInd w:w="-1304" w:type="dxa"/>
      <w:tblLayout w:type="fixed"/>
      <w:tblLook w:val="0000" w:firstRow="0" w:lastRow="0" w:firstColumn="0" w:lastColumn="0" w:noHBand="0" w:noVBand="0"/>
    </w:tblPr>
    <w:tblGrid>
      <w:gridCol w:w="5216"/>
      <w:gridCol w:w="1956"/>
      <w:gridCol w:w="1956"/>
      <w:gridCol w:w="1304"/>
    </w:tblGrid>
    <w:tr w:rsidR="000579F5">
      <w:trPr>
        <w:trHeight w:val="480"/>
      </w:trPr>
      <w:tc>
        <w:tcPr>
          <w:tcW w:w="5216" w:type="dxa"/>
        </w:tcPr>
        <w:p w:rsidR="000579F5" w:rsidRDefault="005C0E5C">
          <w:pPr>
            <w:pBdr>
              <w:top w:val="nil"/>
              <w:left w:val="nil"/>
              <w:bottom w:val="nil"/>
              <w:right w:val="nil"/>
              <w:between w:val="nil"/>
            </w:pBdr>
            <w:spacing w:before="220" w:line="240" w:lineRule="auto"/>
            <w:rPr>
              <w:rFonts w:ascii="Arial" w:eastAsia="Arial" w:hAnsi="Arial" w:cs="Arial"/>
              <w:color w:val="000000"/>
              <w:sz w:val="20"/>
              <w:szCs w:val="20"/>
            </w:rPr>
          </w:pPr>
          <w:r>
            <w:rPr>
              <w:rFonts w:ascii="Arial" w:eastAsia="Arial" w:hAnsi="Arial" w:cs="Arial"/>
              <w:color w:val="000000"/>
              <w:sz w:val="20"/>
              <w:szCs w:val="20"/>
            </w:rPr>
            <w:t>Borås Stad</w:t>
          </w:r>
        </w:p>
      </w:tc>
      <w:tc>
        <w:tcPr>
          <w:tcW w:w="1956" w:type="dxa"/>
        </w:tcPr>
        <w:p w:rsidR="000579F5" w:rsidRDefault="000579F5">
          <w:pPr>
            <w:pBdr>
              <w:top w:val="nil"/>
              <w:left w:val="nil"/>
              <w:bottom w:val="nil"/>
              <w:right w:val="nil"/>
              <w:between w:val="nil"/>
            </w:pBdr>
            <w:spacing w:before="60" w:line="240" w:lineRule="auto"/>
            <w:rPr>
              <w:rFonts w:ascii="Arial" w:eastAsia="Arial" w:hAnsi="Arial" w:cs="Arial"/>
              <w:color w:val="000000"/>
              <w:sz w:val="14"/>
              <w:szCs w:val="14"/>
            </w:rPr>
          </w:pPr>
        </w:p>
      </w:tc>
      <w:tc>
        <w:tcPr>
          <w:tcW w:w="1956" w:type="dxa"/>
        </w:tcPr>
        <w:p w:rsidR="000579F5" w:rsidRDefault="000579F5">
          <w:pPr>
            <w:pBdr>
              <w:top w:val="nil"/>
              <w:left w:val="nil"/>
              <w:bottom w:val="nil"/>
              <w:right w:val="nil"/>
              <w:between w:val="nil"/>
            </w:pBdr>
            <w:spacing w:line="240" w:lineRule="auto"/>
            <w:rPr>
              <w:rFonts w:ascii="Arial" w:eastAsia="Arial" w:hAnsi="Arial" w:cs="Arial"/>
              <w:color w:val="000000"/>
              <w:sz w:val="20"/>
              <w:szCs w:val="20"/>
            </w:rPr>
          </w:pPr>
        </w:p>
      </w:tc>
      <w:tc>
        <w:tcPr>
          <w:tcW w:w="1304" w:type="dxa"/>
        </w:tcPr>
        <w:p w:rsidR="000579F5" w:rsidRDefault="005C0E5C">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0579F5" w:rsidRDefault="005C0E5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w:t>
          </w:r>
        </w:p>
      </w:tc>
    </w:tr>
  </w:tbl>
  <w:p w:rsidR="000579F5" w:rsidRDefault="000579F5">
    <w:pPr>
      <w:pBdr>
        <w:top w:val="nil"/>
        <w:left w:val="nil"/>
        <w:bottom w:val="nil"/>
        <w:right w:val="nil"/>
        <w:between w:val="nil"/>
      </w:pBdr>
      <w:spacing w:after="48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5" w:rsidRDefault="000579F5">
    <w:pPr>
      <w:pBdr>
        <w:top w:val="nil"/>
        <w:left w:val="nil"/>
        <w:bottom w:val="nil"/>
        <w:right w:val="nil"/>
        <w:between w:val="nil"/>
      </w:pBdr>
      <w:spacing w:after="60" w:line="240" w:lineRule="auto"/>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572"/>
    <w:multiLevelType w:val="multilevel"/>
    <w:tmpl w:val="6D6656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F5"/>
    <w:rsid w:val="000579F5"/>
    <w:rsid w:val="005C0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8D0AC-DC35-4EF0-8714-34FAD76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480" w:after="120"/>
      <w:outlineLvl w:val="0"/>
    </w:pPr>
    <w:rPr>
      <w:rFonts w:ascii="Arial" w:eastAsia="Arial" w:hAnsi="Arial" w:cs="Arial"/>
      <w:b/>
      <w:sz w:val="28"/>
      <w:szCs w:val="28"/>
    </w:rPr>
  </w:style>
  <w:style w:type="paragraph" w:styleId="Rubrik2">
    <w:name w:val="heading 2"/>
    <w:basedOn w:val="Normal"/>
    <w:next w:val="Normal"/>
    <w:pPr>
      <w:keepNext/>
      <w:spacing w:before="240" w:after="60"/>
      <w:outlineLvl w:val="1"/>
    </w:pPr>
    <w:rPr>
      <w:rFonts w:ascii="Arial" w:eastAsia="Arial" w:hAnsi="Arial" w:cs="Arial"/>
      <w:b/>
    </w:rPr>
  </w:style>
  <w:style w:type="paragraph" w:styleId="Rubrik3">
    <w:name w:val="heading 3"/>
    <w:basedOn w:val="Normal"/>
    <w:next w:val="Normal"/>
    <w:pPr>
      <w:keepNext/>
      <w:spacing w:before="180" w:after="60"/>
      <w:outlineLvl w:val="2"/>
    </w:pPr>
    <w:rPr>
      <w:rFonts w:ascii="Arial" w:eastAsia="Arial" w:hAnsi="Arial" w:cs="Arial"/>
      <w:sz w:val="22"/>
      <w:szCs w:val="22"/>
    </w:rPr>
  </w:style>
  <w:style w:type="paragraph" w:styleId="Rubrik4">
    <w:name w:val="heading 4"/>
    <w:basedOn w:val="Normal"/>
    <w:next w:val="Normal"/>
    <w:pPr>
      <w:keepNext/>
      <w:spacing w:before="120"/>
      <w:outlineLvl w:val="3"/>
    </w:pPr>
    <w:rPr>
      <w:b/>
    </w:rPr>
  </w:style>
  <w:style w:type="paragraph" w:styleId="Rubrik5">
    <w:name w:val="heading 5"/>
    <w:basedOn w:val="Normal"/>
    <w:next w:val="Normal"/>
    <w:pPr>
      <w:keepNext/>
      <w:keepLines/>
      <w:spacing w:before="40"/>
      <w:outlineLvl w:val="4"/>
    </w:pPr>
    <w:rPr>
      <w:rFonts w:ascii="Arial" w:eastAsia="Arial" w:hAnsi="Arial" w:cs="Arial"/>
      <w:color w:val="0082A1"/>
    </w:rPr>
  </w:style>
  <w:style w:type="paragraph" w:styleId="Rubrik6">
    <w:name w:val="heading 6"/>
    <w:basedOn w:val="Normal"/>
    <w:next w:val="Normal"/>
    <w:pPr>
      <w:keepNext/>
      <w:keepLines/>
      <w:spacing w:before="40"/>
      <w:outlineLvl w:val="5"/>
    </w:pPr>
    <w:rPr>
      <w:rFonts w:ascii="Arial" w:eastAsia="Arial" w:hAnsi="Arial" w:cs="Arial"/>
      <w:color w:val="00566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000000"/>
      </w:pBdr>
      <w:spacing w:after="300"/>
    </w:pPr>
    <w:rPr>
      <w:rFonts w:ascii="Arial" w:eastAsia="Arial" w:hAnsi="Arial" w:cs="Arial"/>
      <w:sz w:val="36"/>
      <w:szCs w:val="36"/>
    </w:rPr>
  </w:style>
  <w:style w:type="paragraph" w:styleId="Underrubrik">
    <w:name w:val="Subtitle"/>
    <w:basedOn w:val="Normal"/>
    <w:next w:val="Normal"/>
    <w:rPr>
      <w:rFonts w:ascii="Arial" w:eastAsia="Arial" w:hAnsi="Arial" w:cs="Arial"/>
      <w:i/>
      <w:color w:val="00AFD8"/>
    </w:rPr>
  </w:style>
  <w:style w:type="table" w:customStyle="1" w:styleId="a">
    <w:basedOn w:val="TableNormal"/>
    <w:tblPr>
      <w:tblStyleRowBandSize w:val="1"/>
      <w:tblStyleColBandSize w:val="1"/>
      <w:tblCellMar>
        <w:top w:w="28" w:type="dxa"/>
        <w:left w:w="28" w:type="dxa"/>
        <w:bottom w:w="0" w:type="dxa"/>
        <w:right w:w="28" w:type="dxa"/>
      </w:tblCellMar>
    </w:tblPr>
  </w:style>
  <w:style w:type="table" w:customStyle="1" w:styleId="a0">
    <w:basedOn w:val="TableNormal"/>
    <w:tblPr>
      <w:tblStyleRowBandSize w:val="1"/>
      <w:tblStyleColBandSize w:val="1"/>
      <w:tblCellMar>
        <w:top w:w="28" w:type="dxa"/>
        <w:left w:w="28" w:type="dxa"/>
        <w:bottom w:w="0" w:type="dxa"/>
        <w:right w:w="28" w:type="dxa"/>
      </w:tblCellMar>
    </w:tblPr>
  </w:style>
  <w:style w:type="table" w:customStyle="1" w:styleId="a1">
    <w:basedOn w:val="TableNormal"/>
    <w:tblPr>
      <w:tblStyleRowBandSize w:val="1"/>
      <w:tblStyleColBandSize w:val="1"/>
      <w:tblCellMar>
        <w:top w:w="0" w:type="dxa"/>
        <w:left w:w="0" w:type="dxa"/>
        <w:bottom w:w="0"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4102</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Persson Carlson</dc:creator>
  <cp:lastModifiedBy>Annette Persson Carlson</cp:lastModifiedBy>
  <cp:revision>2</cp:revision>
  <dcterms:created xsi:type="dcterms:W3CDTF">2021-04-23T13:45:00Z</dcterms:created>
  <dcterms:modified xsi:type="dcterms:W3CDTF">2021-04-23T13:45:00Z</dcterms:modified>
</cp:coreProperties>
</file>