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32.0" w:type="dxa"/>
        <w:jc w:val="left"/>
        <w:tblInd w:w="-1304.0" w:type="dxa"/>
        <w:tblLayout w:type="fixed"/>
        <w:tblLook w:val="0000"/>
      </w:tblPr>
      <w:tblGrid>
        <w:gridCol w:w="5216"/>
        <w:gridCol w:w="1361"/>
        <w:gridCol w:w="2551"/>
        <w:gridCol w:w="1304"/>
        <w:tblGridChange w:id="0">
          <w:tblGrid>
            <w:gridCol w:w="5216"/>
            <w:gridCol w:w="1361"/>
            <w:gridCol w:w="2551"/>
            <w:gridCol w:w="1304"/>
          </w:tblGrid>
        </w:tblGridChange>
      </w:tblGrid>
      <w:tr>
        <w:trPr>
          <w:trHeight w:val="435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36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</w:rPr>
              <w:drawing>
                <wp:inline distB="0" distT="0" distL="0" distR="0">
                  <wp:extent cx="2015490" cy="398780"/>
                  <wp:effectExtent b="0" l="0" r="0" t="0"/>
                  <wp:docPr descr="Borås Stad" id="1" name="image1.png"/>
                  <a:graphic>
                    <a:graphicData uri="http://schemas.openxmlformats.org/drawingml/2006/picture">
                      <pic:pic>
                        <pic:nvPicPr>
                          <pic:cNvPr descr="Borås Stad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398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SKRIVELSE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Sida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</w:rPr>
              <w:fldChar w:fldCharType="begin"/>
              <w:instrText xml:space="preserve">NUMPAGES</w:instrText>
              <w:fldChar w:fldCharType="separate"/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2021-04-26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Instans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Kommunstyrelsen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Dnr KS 2021-00213 3.5.6.0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Heading1"/>
        <w:jc w:val="center"/>
        <w:rPr>
          <w:b w:val="0"/>
          <w:color w:val="ff0000"/>
        </w:rPr>
      </w:pPr>
      <w:r w:rsidDel="00000000" w:rsidR="00000000" w:rsidRPr="00000000">
        <w:rPr>
          <w:b w:val="0"/>
          <w:color w:val="ff0000"/>
          <w:rtl w:val="0"/>
        </w:rPr>
        <w:t xml:space="preserve">ALTERNATIVT FÖRSLAG</w:t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Borås Stads remissyttrande över ansökan från Thorengruppen AB om godkännande som huvudman för en utökning av befintlig fristående  gymnasieskola vid Yrkesgymnasiet Borås i Borås kommun. </w:t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Kommunstyrelsens beslut</w:t>
      </w:r>
    </w:p>
    <w:bookmarkStart w:colFirst="0" w:colLast="0" w:name="1fob9te" w:id="2"/>
    <w:bookmarkEnd w:id="2"/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rtl w:val="0"/>
        </w:rPr>
        <w:t xml:space="preserve">Borås Stad godkänner remissyttrande om ansökan från Thorensgruppen AB som huvudman för en utökning av befintlig fristående gymnasieskola vid Yrkesgymnasiet Borås i Borås Stad från och med läsåret 2022/2023.       </w:t>
      </w:r>
      <w:bookmarkStart w:colFirst="0" w:colLast="0" w:name="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r w:rsidDel="00000000" w:rsidR="00000000" w:rsidRPr="00000000">
        <w:rPr>
          <w:rtl w:val="0"/>
        </w:rPr>
        <w:t xml:space="preserve">Ärendet i sin helhet</w:t>
      </w:r>
    </w:p>
    <w:bookmarkStart w:colFirst="0" w:colLast="0" w:name="2et92p0" w:id="4"/>
    <w:bookmarkEnd w:id="4"/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Ansökan avser en utökning vid Yrkesgymnasiet Borås från och med läsåret 2022/2023.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Utökningen omfattar tre nya program: bygg- och anläggningsprogrammet med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inriktning måleri, försäljning- och serviceprogrammet samt vård- och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omsorgsprogrammet. Varje program planeras för 6 elever per årskurs.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Antal sökta platser totalt till åk 1 är 18. Planerad start för utbildningarna är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läsåret 2022/2023. Totalt utbyggt år 2024 är antalet platser 54.</w:t>
        <w:br w:type="textWrapping"/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De sökta nationella programmen bedrivs i kommunal regi med följande fördelning: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- Bygg- och anläggningsprogrammet, 70 platser.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  <w:t xml:space="preserve">- Handels- och administrationsprogrammet, 46 platser. </w:t>
        <w:br w:type="textWrapping"/>
      </w:r>
      <w:r w:rsidDel="00000000" w:rsidR="00000000" w:rsidRPr="00000000">
        <w:rPr>
          <w:i w:val="1"/>
          <w:rtl w:val="0"/>
        </w:rPr>
        <w:t xml:space="preserve">  (namnbyte under 2021 till försäljning- och serviceprogrammet).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- Vård- och omsorgsprogrammet, 40 platser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Söktrycket till bygg- och anläggningsprogrammet är för närvarande i bra relation till erbjudna platser. Detsamma gäller försäljning- och serviceprogrammet men med en fallande trend i söktryck. På vård- och omsorgsprogrammet erbjuds platser som överstiger antalet sökande och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utbildningen visar en fallande trend i söktryck.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Bygg- och anläggningsprogrammet erbjuds i dagsläget även på den fristående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gymnasieskolan Praktiska Gymnasiet och Vård- och omsorgsprogrammet erbjuds på den fristående gymnasieskolan Drottning Blanka.</w:t>
        <w:br w:type="textWrapping"/>
        <w:t xml:space="preserve">Ingen fristående skola i kommunen erbjuder för närvarande försäljning- och serviceprogrammet.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Enligt befolkningsprognosen finns det 1 300 sextonåringar år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2020. Därefter beräknas elevantalet att öka årligen fram till 2026.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Motsvarande utveckling förväntas i övriga kommuner i Sjuhärads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samverkansområde och kan komma att påverka elevantalet i Borås Stads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gymnasieskolor. Samverkanskommunerna är Bollebygd, Herrljunga, Mark, Svenljunga, Tranemo, Ulricehamn och Vårgårda.</w:t>
        <w:br w:type="textWrapping"/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Gymnasie- och vuxenutbildningsnämnden har för avsikt att möta ökat elevantal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och tillgodose elevernas förstahandsval i högre utsträckning genom en större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  <w:t xml:space="preserve">och mer flexibel organisation inom befintliga gymnasieskolor. Det sker genom att planera för lokalmässig utbyggnad och en flexiblare antagningsorganisation. </w:t>
        <w:br w:type="textWrapping"/>
        <w:br w:type="textWrapping"/>
      </w:r>
      <w:r w:rsidDel="00000000" w:rsidR="00000000" w:rsidRPr="00000000">
        <w:rPr>
          <w:rtl w:val="0"/>
        </w:rPr>
        <w:t xml:space="preserve">Gymnasie- och vuxenutbildningsnämndens bedömning är att det inte finns elevunderlag i Borås för den utökning, som de av Thorengruppen sökta utbildningarna innebär, och menar att en ny fristående aktör inom de ovannämnda programmen skulle göra det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svårare att planera och dimensionera kommunens utbildningar. Vidare menar nämnden att en eventuell etablering skulle kunna leda till ekonomiska och organisatoriska konsekvenser.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Kommunstyrelsen ser positivt på den inkomna förfrågan från Thoréngruppen. Fler aktörer som bedriver gymnasieverksamhet i Borås är positivt. Det skulle kunna medföra att det snarare blir enklare för den kommunala organisationen att omhänderta den prognostiserade ökningen av antalet 16-åringar på ett effektivt sätt, genom att till exempel behovet av ny- eller ombyggnationer skulle kunna minska. Dessutom ser Kommunstyrelsen positivt på den ökade pedagogisk mångfald, som skulle följa med en etablering av fler aktörer inom Borås gymnasieverksamhet. </w:t>
      </w:r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/>
      </w:pPr>
      <w:r w:rsidDel="00000000" w:rsidR="00000000" w:rsidRPr="00000000">
        <w:rPr>
          <w:rtl w:val="0"/>
        </w:rPr>
        <w:t xml:space="preserve">Beslutsunderlag</w:t>
      </w:r>
    </w:p>
    <w:bookmarkStart w:colFirst="0" w:colLast="0" w:name="3dy6vkm" w:id="6"/>
    <w:bookmarkEnd w:id="6"/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Bilaga 1, Antal utbildningsplatser i kommunal gymnasieskola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Bilaga 2, Planerat programutbud läsåret 2021/2022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 Bilaga 3, Befolkningsprognos antal 16-åringar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Yttrande Gymnasie- och vuxenutbildningsnämnden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Remissyttrande till Skolinspektionen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Gymnasienämndens beslut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 Bilaga till GVUNs beslut Alternativt förslag SD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44">
      <w:pPr>
        <w:pStyle w:val="Heading2"/>
        <w:rPr/>
      </w:pPr>
      <w:r w:rsidDel="00000000" w:rsidR="00000000" w:rsidRPr="00000000">
        <w:rPr>
          <w:rtl w:val="0"/>
        </w:rPr>
        <w:t xml:space="preserve">Beslutet expedieras till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Gymnasie- och vuxenutbildningsnämnden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Allianspartierna </w:t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Moderaterna</w:t>
        <w:tab/>
        <w:tab/>
        <w:tab/>
        <w:tab/>
        <w:tab/>
        <w:t xml:space="preserve">Kristdemokraterna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  <w:t xml:space="preserve">Annette Carlson </w:t>
        <w:tab/>
        <w:tab/>
        <w:tab/>
        <w:tab/>
        <w:t xml:space="preserve">Niklas Arvidsson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397" w:top="454" w:left="2438" w:right="2041" w:header="454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40" w:line="240" w:lineRule="auto"/>
      <w:ind w:left="-1304" w:right="-1645" w:firstLine="0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10433.000000000002" w:type="dxa"/>
      <w:jc w:val="left"/>
      <w:tblInd w:w="-1304.0" w:type="dxa"/>
      <w:tblLayout w:type="fixed"/>
      <w:tblLook w:val="0000"/>
    </w:tblPr>
    <w:tblGrid>
      <w:gridCol w:w="2244"/>
      <w:gridCol w:w="2247"/>
      <w:gridCol w:w="2228"/>
      <w:gridCol w:w="2411"/>
      <w:gridCol w:w="1303"/>
      <w:tblGridChange w:id="0">
        <w:tblGrid>
          <w:gridCol w:w="2244"/>
          <w:gridCol w:w="2247"/>
          <w:gridCol w:w="2228"/>
          <w:gridCol w:w="2411"/>
          <w:gridCol w:w="1303"/>
        </w:tblGrid>
      </w:tblGridChange>
    </w:tblGrid>
    <w:tr>
      <w:trPr>
        <w:trHeight w:val="480" w:hRule="atLeast"/>
      </w:trPr>
      <w:tc>
        <w:tcPr>
          <w:gridSpan w:val="5"/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05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6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Kommunstyrelsen</w:t>
          </w:r>
        </w:p>
      </w:tc>
    </w:tr>
    <w:tr>
      <w:trPr>
        <w:trHeight w:val="480" w:hRule="atLeast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2"/>
              <w:szCs w:val="12"/>
              <w:rtl w:val="0"/>
            </w:rPr>
            <w:t xml:space="preserve">Postadress</w:t>
          </w:r>
        </w:p>
        <w:p w:rsidR="00000000" w:rsidDel="00000000" w:rsidP="00000000" w:rsidRDefault="00000000" w:rsidRPr="00000000" w14:paraId="000000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501 80 Borås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2"/>
              <w:szCs w:val="12"/>
              <w:rtl w:val="0"/>
            </w:rPr>
            <w:t xml:space="preserve">Besöksadress</w:t>
          </w:r>
        </w:p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Kungsgatan 55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2"/>
              <w:szCs w:val="12"/>
              <w:rtl w:val="0"/>
            </w:rPr>
            <w:t xml:space="preserve">Hemsida</w:t>
          </w:r>
        </w:p>
        <w:p w:rsidR="00000000" w:rsidDel="00000000" w:rsidP="00000000" w:rsidRDefault="00000000" w:rsidRPr="00000000" w14:paraId="000000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boras.se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2"/>
              <w:szCs w:val="12"/>
              <w:rtl w:val="0"/>
            </w:rPr>
            <w:t xml:space="preserve">E-post</w:t>
          </w:r>
        </w:p>
        <w:p w:rsidR="00000000" w:rsidDel="00000000" w:rsidP="00000000" w:rsidRDefault="00000000" w:rsidRPr="00000000" w14:paraId="000000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boras.stad@boras.se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2"/>
              <w:szCs w:val="1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2"/>
              <w:szCs w:val="12"/>
              <w:rtl w:val="0"/>
            </w:rPr>
            <w:t xml:space="preserve">Telefon</w:t>
          </w:r>
        </w:p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033-35 70 00 vxl</w:t>
          </w:r>
        </w:p>
      </w:tc>
    </w:tr>
  </w:tbl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rFonts w:ascii="Arial" w:cs="Arial" w:eastAsia="Arial" w:hAnsi="Arial"/>
        <w:color w:val="000000"/>
        <w:sz w:val="6"/>
        <w:szCs w:val="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10017" cy="74610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0017" cy="7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10432.0" w:type="dxa"/>
      <w:jc w:val="left"/>
      <w:tblInd w:w="-1304.0" w:type="dxa"/>
      <w:tblLayout w:type="fixed"/>
      <w:tblLook w:val="0000"/>
    </w:tblPr>
    <w:tblGrid>
      <w:gridCol w:w="5216"/>
      <w:gridCol w:w="1956"/>
      <w:gridCol w:w="1956"/>
      <w:gridCol w:w="1304"/>
      <w:tblGridChange w:id="0">
        <w:tblGrid>
          <w:gridCol w:w="5216"/>
          <w:gridCol w:w="1956"/>
          <w:gridCol w:w="1956"/>
          <w:gridCol w:w="1304"/>
        </w:tblGrid>
      </w:tblGridChange>
    </w:tblGrid>
    <w:tr>
      <w:trPr>
        <w:trHeight w:val="480" w:hRule="atLeast"/>
      </w:trPr>
      <w:tc>
        <w:tcPr/>
        <w:p w:rsidR="00000000" w:rsidDel="00000000" w:rsidP="00000000" w:rsidRDefault="00000000" w:rsidRPr="00000000" w14:paraId="0000005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2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Borås Stad</w:t>
          </w:r>
        </w:p>
      </w:tc>
      <w:tc>
        <w:tcPr/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60" w:line="240" w:lineRule="auto"/>
            <w:rPr>
              <w:rFonts w:ascii="Arial" w:cs="Arial" w:eastAsia="Arial" w:hAnsi="Arial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4"/>
              <w:szCs w:val="14"/>
              <w:rtl w:val="0"/>
            </w:rPr>
            <w:t xml:space="preserve">Sida</w:t>
          </w:r>
        </w:p>
        <w:p w:rsidR="00000000" w:rsidDel="00000000" w:rsidP="00000000" w:rsidRDefault="00000000" w:rsidRPr="00000000" w14:paraId="0000005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(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)</w:t>
          </w:r>
        </w:p>
      </w:tc>
    </w:tr>
  </w:tbl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8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48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180" w:lineRule="auto"/>
    </w:pPr>
    <w:rPr>
      <w:rFonts w:ascii="Arial" w:cs="Arial" w:eastAsia="Arial" w:hAnsi="Arial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before="12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color w:val="0082a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color w:val="00566b"/>
    </w:rPr>
  </w:style>
  <w:style w:type="paragraph" w:styleId="Title">
    <w:name w:val="Title"/>
    <w:basedOn w:val="Normal"/>
    <w:next w:val="Normal"/>
    <w:pPr>
      <w:pBdr>
        <w:bottom w:color="000000" w:space="4" w:sz="8" w:val="single"/>
      </w:pBdr>
      <w:spacing w:after="300" w:lineRule="auto"/>
    </w:pPr>
    <w:rPr>
      <w:rFonts w:ascii="Arial" w:cs="Arial" w:eastAsia="Arial" w:hAnsi="Arial"/>
      <w:sz w:val="36"/>
      <w:szCs w:val="36"/>
    </w:rPr>
  </w:style>
  <w:style w:type="paragraph" w:styleId="Subtitle">
    <w:name w:val="Subtitle"/>
    <w:basedOn w:val="Normal"/>
    <w:next w:val="Normal"/>
    <w:pPr/>
    <w:rPr>
      <w:rFonts w:ascii="Arial" w:cs="Arial" w:eastAsia="Arial" w:hAnsi="Arial"/>
      <w:i w:val="1"/>
      <w:color w:val="00afd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