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4">
      <w:pPr>
        <w:spacing w:after="160" w:line="259" w:lineRule="auto"/>
        <w:jc w:val="cente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5">
      <w:pPr>
        <w:spacing w:after="160" w:line="259" w:lineRule="auto"/>
        <w:jc w:val="cente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PROTOKOLLSANTECKNING </w:t>
      </w:r>
    </w:p>
    <w:p w:rsidR="00000000" w:rsidDel="00000000" w:rsidP="00000000" w:rsidRDefault="00000000" w:rsidRPr="00000000" w14:paraId="00000006">
      <w:pPr>
        <w:spacing w:after="160" w:line="259" w:lineRule="auto"/>
        <w:jc w:val="cente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KU2 - Ej verkställda gynnande biståndsbeslut år 2020</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Allianspartierna i Borås, Moderaterna och Kristdemokraterna, konstaterar att det fortfarande råder brist på boendeplatser för LSS i Borås Stad. I rapporten som nu läggs fram till Kommunstyrelsen är det flera ärenden om bostad med särskild service för vuxna enligt LSS som ännu inte har kunnat genomföras p.g.a. brist på bostad. Det innebär att vi som kommun inte klarar det lagstadgade uppdrag som är givet oss.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Borås Stad betalade 2017 ut viten för ej verkställda beslut inom LSS om drygt 400 000 kronor, under 2018 blev det ytterligare 200 000 kronor.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Vi vill påtala att tillräckligt antal boendeplatser hade funnits i Borås om externa utförare hade tillåts erbjuda bostäder via LOV eller ramavtalsupphandling. Det är beklagligt att styret i staden (S, MP, C och L) inte gör tillräckligt för att åtgärda bristen på boendeplatser.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Allianspartierna i Borås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Moderaterna</w:t>
        <w:tab/>
        <w:tab/>
        <w:tab/>
        <w:t xml:space="preserve">Kristdemokraterna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Annette Carlson </w:t>
        <w:tab/>
        <w:tab/>
        <w:t xml:space="preserve">Niklas Arvidsson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bookmarkStart w:colFirst="0" w:colLast="0" w:name="_gjdgxs" w:id="0"/>
      <w:bookmarkEnd w:id="0"/>
      <w:r w:rsidDel="00000000" w:rsidR="00000000" w:rsidRPr="00000000">
        <w:rPr>
          <w:rtl w:val="0"/>
        </w:rPr>
      </w:r>
    </w:p>
    <w:sectPr>
      <w:headerReference r:id="rId6" w:type="default"/>
      <w:foot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45093" cy="1216430"/>
          <wp:effectExtent b="0" l="0" r="0" t="0"/>
          <wp:docPr descr="\\ad.boras.se\Users\Hemkatalog\2\BOANPE\Dokument\My Pictures\Screenshots\Skärmbild (178).png" id="1" name="image1.png"/>
          <a:graphic>
            <a:graphicData uri="http://schemas.openxmlformats.org/drawingml/2006/picture">
              <pic:pic>
                <pic:nvPicPr>
                  <pic:cNvPr descr="\\ad.boras.se\Users\Hemkatalog\2\BOANPE\Dokument\My Pictures\Screenshots\Skärmbild (178).png" id="0" name="image1.png"/>
                  <pic:cNvPicPr preferRelativeResize="0"/>
                </pic:nvPicPr>
                <pic:blipFill>
                  <a:blip r:embed="rId1"/>
                  <a:srcRect b="0" l="0" r="0" t="0"/>
                  <a:stretch>
                    <a:fillRect/>
                  </a:stretch>
                </pic:blipFill>
                <pic:spPr>
                  <a:xfrm>
                    <a:off x="0" y="0"/>
                    <a:ext cx="2245093" cy="12164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Protokollsanteckning </w:t>
      <w:tab/>
      <w:tab/>
      <w:t xml:space="preserve">Kommunstyrelsen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2021-0</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26</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