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2B0C52">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9D6A94">
            <w:pPr>
              <w:pStyle w:val="Sidhuvud"/>
            </w:pPr>
            <w:r>
              <w:t>20</w:t>
            </w:r>
            <w:r w:rsidR="0081783C">
              <w:t>22-0</w:t>
            </w:r>
            <w:r w:rsidR="009D6A94">
              <w:t>4-25</w:t>
            </w:r>
          </w:p>
        </w:tc>
        <w:tc>
          <w:tcPr>
            <w:tcW w:w="3855" w:type="dxa"/>
            <w:gridSpan w:val="2"/>
          </w:tcPr>
          <w:p w:rsidR="004F2690" w:rsidRDefault="00375E69" w:rsidP="004F2690">
            <w:pPr>
              <w:pStyle w:val="Sidhuvudledtext"/>
            </w:pPr>
            <w:r>
              <w:t>Instans</w:t>
            </w:r>
          </w:p>
          <w:p w:rsidR="007010D3" w:rsidRPr="00AC541B" w:rsidRDefault="00375E69" w:rsidP="005F68F2">
            <w:pPr>
              <w:pStyle w:val="Sidhuvud"/>
              <w:rPr>
                <w:b/>
              </w:rPr>
            </w:pPr>
            <w:r w:rsidRPr="00487F49">
              <w:rPr>
                <w:b/>
              </w:rPr>
              <w:t>Kommunstyrelsen</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733D3D" w:rsidP="00227D67">
      <w:pPr>
        <w:pStyle w:val="Rubrik1"/>
        <w:spacing w:after="0"/>
      </w:pPr>
      <w:r>
        <w:t>Svar på motion av N</w:t>
      </w:r>
      <w:r w:rsidR="0081783C">
        <w:t>iklas Arvidsson</w:t>
      </w:r>
      <w:r>
        <w:t xml:space="preserve"> (</w:t>
      </w:r>
      <w:r w:rsidR="0081783C">
        <w:t>KD</w:t>
      </w:r>
      <w:r>
        <w:t>)</w:t>
      </w:r>
      <w:r w:rsidR="00227D67">
        <w:t xml:space="preserve"> </w:t>
      </w:r>
      <w:r w:rsidR="0081783C">
        <w:t>m.fl.</w:t>
      </w:r>
      <w:r w:rsidR="00227D67">
        <w:t xml:space="preserve"> </w:t>
      </w:r>
      <w:r w:rsidR="0081783C">
        <w:t>”</w:t>
      </w:r>
      <w:r w:rsidR="00DE7B88" w:rsidRPr="008F74B4">
        <w:t>Borås Stad ska inte äga produktionsskog i Tranemo</w:t>
      </w:r>
      <w:r w:rsidR="0081783C">
        <w:t>”</w:t>
      </w:r>
    </w:p>
    <w:p w:rsidR="00755107" w:rsidRPr="00C728C9" w:rsidRDefault="00733D3D" w:rsidP="00755107">
      <w:pPr>
        <w:pStyle w:val="Rubrik2"/>
      </w:pPr>
      <w:bookmarkStart w:id="0" w:name="Beslut"/>
      <w:bookmarkEnd w:id="0"/>
      <w:r>
        <w:rPr>
          <w:rFonts w:cs="Arial"/>
          <w:szCs w:val="24"/>
        </w:rPr>
        <w:t>Kommunstyrelsen föreslår Kommunfullmäktige besluta</w:t>
      </w:r>
    </w:p>
    <w:p w:rsidR="00D35220" w:rsidRDefault="0042419F" w:rsidP="00375E69">
      <w:pPr>
        <w:spacing w:after="120"/>
      </w:pPr>
      <w:r>
        <w:t xml:space="preserve">Motionen </w:t>
      </w:r>
      <w:r>
        <w:rPr>
          <w:color w:val="FF0000"/>
        </w:rPr>
        <w:t>bifalls</w:t>
      </w:r>
      <w:r w:rsidR="0081783C">
        <w:t>.</w:t>
      </w:r>
      <w:bookmarkStart w:id="1" w:name="BeslutSlut"/>
      <w:bookmarkEnd w:id="1"/>
    </w:p>
    <w:p w:rsidR="0081783C" w:rsidRDefault="0081783C" w:rsidP="00375E69">
      <w:pPr>
        <w:spacing w:after="120"/>
      </w:pPr>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81783C" w:rsidRDefault="0081783C" w:rsidP="0081783C">
      <w:pPr>
        <w:pStyle w:val="Brdtext"/>
      </w:pPr>
      <w:bookmarkStart w:id="2" w:name="Komplettering"/>
      <w:bookmarkEnd w:id="2"/>
      <w:r>
        <w:t>Niklas Arvidsson (KD) med flera har, i motion daterad 2020-06-20, föreslagit att Tekniska nämnden ges i uppdrag att återkomma till Kommunfullmäktige med förslag på försäljning av hela eller väsentliga delar av kommunens innehav av produktiv skogsmark i andra kommuner.</w:t>
      </w:r>
    </w:p>
    <w:p w:rsidR="0081783C" w:rsidRDefault="0081783C" w:rsidP="0081783C">
      <w:pPr>
        <w:pStyle w:val="Brdtext"/>
        <w:rPr>
          <w:szCs w:val="24"/>
        </w:rPr>
      </w:pPr>
      <w:r>
        <w:rPr>
          <w:szCs w:val="24"/>
        </w:rPr>
        <w:t xml:space="preserve">Kommunstyrelsen föreslår att Kommunfullmäktige </w:t>
      </w:r>
      <w:r w:rsidR="003C3A8E" w:rsidRPr="003C3A8E">
        <w:rPr>
          <w:color w:val="FF0000"/>
          <w:szCs w:val="24"/>
        </w:rPr>
        <w:t>bifalla</w:t>
      </w:r>
      <w:r w:rsidRPr="003C3A8E">
        <w:rPr>
          <w:color w:val="FF0000"/>
          <w:szCs w:val="24"/>
        </w:rPr>
        <w:t xml:space="preserve"> </w:t>
      </w:r>
      <w:r>
        <w:rPr>
          <w:szCs w:val="24"/>
        </w:rPr>
        <w:t>motion</w:t>
      </w:r>
      <w:r w:rsidR="003C3A8E">
        <w:rPr>
          <w:szCs w:val="24"/>
        </w:rPr>
        <w:t>en</w:t>
      </w:r>
      <w:r>
        <w:rPr>
          <w:szCs w:val="24"/>
        </w:rPr>
        <w:t xml:space="preserve">. </w:t>
      </w:r>
    </w:p>
    <w:p w:rsidR="003C3A8E" w:rsidRPr="003C3A8E" w:rsidRDefault="0081783C" w:rsidP="003C3A8E">
      <w:pPr>
        <w:pStyle w:val="Brdtext"/>
        <w:rPr>
          <w:color w:val="FF0000"/>
        </w:rPr>
      </w:pPr>
      <w:r w:rsidRPr="003C3A8E">
        <w:rPr>
          <w:strike/>
          <w:color w:val="FF0000"/>
          <w:szCs w:val="24"/>
        </w:rPr>
        <w:t xml:space="preserve">Stadens markinnehav i andra kommuner är välmotiverat, utifrån flera faktorer. </w:t>
      </w:r>
      <w:r w:rsidRPr="003C3A8E">
        <w:rPr>
          <w:szCs w:val="24"/>
        </w:rPr>
        <w:t xml:space="preserve">Huvuddelen av Borås Stads produktionsskog i andra kommuner är samlad kring </w:t>
      </w:r>
      <w:proofErr w:type="spellStart"/>
      <w:r w:rsidRPr="003C3A8E">
        <w:rPr>
          <w:szCs w:val="24"/>
        </w:rPr>
        <w:t>Hofsnäs</w:t>
      </w:r>
      <w:proofErr w:type="spellEnd"/>
      <w:r w:rsidRPr="003C3A8E">
        <w:rPr>
          <w:szCs w:val="24"/>
        </w:rPr>
        <w:t xml:space="preserve"> i Tranemo kommun, och där insprängd i marker med mycket stort rekreationsvärde för boråsare.</w:t>
      </w:r>
      <w:bookmarkStart w:id="3" w:name="KompletteringSlut"/>
      <w:bookmarkEnd w:id="3"/>
      <w:r w:rsidR="003C3A8E">
        <w:rPr>
          <w:szCs w:val="24"/>
        </w:rPr>
        <w:t xml:space="preserve"> </w:t>
      </w:r>
      <w:r w:rsidR="003C3A8E" w:rsidRPr="003C3A8E">
        <w:rPr>
          <w:color w:val="FF0000"/>
        </w:rPr>
        <w:t xml:space="preserve">Enligt enheten för park och skog på Tekniska förvaltningen är ca hälften av skogen benämnd som produktiv skogsmark, som både är attraktiv för andra kommuner men också privata intressenter. </w:t>
      </w:r>
    </w:p>
    <w:p w:rsidR="003C3A8E" w:rsidRPr="003C3A8E" w:rsidRDefault="005E5057" w:rsidP="003C3A8E">
      <w:pPr>
        <w:pStyle w:val="Brdtext"/>
        <w:rPr>
          <w:color w:val="FF0000"/>
          <w:szCs w:val="24"/>
        </w:rPr>
      </w:pPr>
      <w:r>
        <w:rPr>
          <w:color w:val="FF0000"/>
          <w:szCs w:val="24"/>
        </w:rPr>
        <w:t xml:space="preserve">Kommunstyrelsen menar att det inte ligger i Borås Stads intresse eller uppdrag att äga produktionsskog i andra kommuner. </w:t>
      </w:r>
      <w:r w:rsidR="003C3A8E" w:rsidRPr="003C3A8E">
        <w:rPr>
          <w:color w:val="FF0000"/>
          <w:szCs w:val="24"/>
        </w:rPr>
        <w:t xml:space="preserve">Borås Stad står inför omfattande investeringsbehov de kommande tio åren. Nya skolor och äldreboenden är bara två av de välfärdsområden som kommer kräva stora investeringar, vilka kan gynnas genom försäljning av </w:t>
      </w:r>
      <w:r>
        <w:rPr>
          <w:color w:val="FF0000"/>
          <w:szCs w:val="24"/>
        </w:rPr>
        <w:t>produktions</w:t>
      </w:r>
      <w:r w:rsidR="003C3A8E" w:rsidRPr="003C3A8E">
        <w:rPr>
          <w:color w:val="FF0000"/>
          <w:szCs w:val="24"/>
        </w:rPr>
        <w:t>skog</w:t>
      </w:r>
      <w:r>
        <w:rPr>
          <w:color w:val="FF0000"/>
          <w:szCs w:val="24"/>
        </w:rPr>
        <w:t xml:space="preserve"> belägen i annan kommun</w:t>
      </w:r>
      <w:bookmarkStart w:id="4" w:name="_GoBack"/>
      <w:bookmarkEnd w:id="4"/>
      <w:r w:rsidR="003C3A8E" w:rsidRPr="003C3A8E">
        <w:rPr>
          <w:color w:val="FF0000"/>
          <w:szCs w:val="24"/>
        </w:rPr>
        <w:t>.</w:t>
      </w:r>
      <w:r w:rsidR="003C3A8E" w:rsidRPr="003C3A8E">
        <w:rPr>
          <w:color w:val="FF0000"/>
        </w:rPr>
        <w:t xml:space="preserve"> </w:t>
      </w:r>
    </w:p>
    <w:p w:rsidR="003C3A8E" w:rsidRDefault="003C3A8E" w:rsidP="003C3A8E"/>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81783C" w:rsidRDefault="0081783C" w:rsidP="0081783C">
      <w:pPr>
        <w:pStyle w:val="Brdtext"/>
      </w:pPr>
      <w:r>
        <w:t>Niklas Arvidsson, Lisa Berglund, Hans Gustavsson, Magnus Sjödahl och Valéria Kant (KD) har, i motion daterad 2020-06-20, föreslagit Kommunfullmäktige besluta att Tekniska nämnden ges i uppdrag att återkomma till Kommunfullmäktige med förslag på försäljning av hela eller väsentliga delar av kommunens innehav av produktiv skogsmark i andra kommuner.</w:t>
      </w:r>
    </w:p>
    <w:p w:rsidR="0081783C" w:rsidRDefault="0081783C" w:rsidP="0081783C">
      <w:pPr>
        <w:pStyle w:val="Brdtext"/>
        <w:rPr>
          <w:szCs w:val="24"/>
        </w:rPr>
      </w:pPr>
      <w:r>
        <w:rPr>
          <w:szCs w:val="24"/>
        </w:rPr>
        <w:lastRenderedPageBreak/>
        <w:t xml:space="preserve">Kommunstyrelsen föreslår att Kommunfullmäktige </w:t>
      </w:r>
      <w:r w:rsidR="003C3A8E" w:rsidRPr="003C3A8E">
        <w:rPr>
          <w:color w:val="FF0000"/>
          <w:szCs w:val="24"/>
        </w:rPr>
        <w:t>bifalla</w:t>
      </w:r>
      <w:r w:rsidRPr="003C3A8E">
        <w:rPr>
          <w:color w:val="FF0000"/>
          <w:szCs w:val="24"/>
        </w:rPr>
        <w:t xml:space="preserve"> </w:t>
      </w:r>
      <w:r>
        <w:rPr>
          <w:szCs w:val="24"/>
        </w:rPr>
        <w:t>motionen. Vid beredningen har faktaunderlag och synpunkter inhämtats från Tekniska förvaltningen, som ansvarar för stadens skogsförvaltning.</w:t>
      </w:r>
    </w:p>
    <w:p w:rsidR="0081783C" w:rsidRDefault="0081783C" w:rsidP="0081783C">
      <w:pPr>
        <w:pStyle w:val="Brdtext"/>
      </w:pPr>
      <w:r>
        <w:t>Nedan följer en sammanställning av Borås Stad ägd mark i andra kommuner, per fastighetsblock (arealuppgifter anges i hektar):</w:t>
      </w:r>
    </w:p>
    <w:p w:rsidR="0081783C" w:rsidRDefault="0081783C" w:rsidP="0081783C">
      <w:pPr>
        <w:pStyle w:val="Brdtext"/>
        <w:rPr>
          <w:szCs w:val="24"/>
        </w:rPr>
      </w:pPr>
    </w:p>
    <w:tbl>
      <w:tblPr>
        <w:tblStyle w:val="Tabellrutnt"/>
        <w:tblW w:w="0" w:type="auto"/>
        <w:tblLook w:val="04A0" w:firstRow="1" w:lastRow="0" w:firstColumn="1" w:lastColumn="0" w:noHBand="0" w:noVBand="1"/>
      </w:tblPr>
      <w:tblGrid>
        <w:gridCol w:w="2260"/>
        <w:gridCol w:w="1247"/>
        <w:gridCol w:w="1497"/>
        <w:gridCol w:w="1272"/>
        <w:gridCol w:w="1100"/>
      </w:tblGrid>
      <w:tr w:rsidR="0081783C" w:rsidRPr="00222EB2" w:rsidTr="0081783C">
        <w:trPr>
          <w:trHeight w:val="300"/>
        </w:trPr>
        <w:tc>
          <w:tcPr>
            <w:tcW w:w="2260" w:type="dxa"/>
            <w:noWrap/>
            <w:hideMark/>
          </w:tcPr>
          <w:p w:rsidR="0081783C" w:rsidRPr="00222EB2" w:rsidRDefault="0081783C" w:rsidP="0081783C">
            <w:pPr>
              <w:pStyle w:val="Brdtext"/>
              <w:rPr>
                <w:b/>
                <w:bCs/>
              </w:rPr>
            </w:pPr>
            <w:r w:rsidRPr="00222EB2">
              <w:rPr>
                <w:b/>
                <w:bCs/>
              </w:rPr>
              <w:t>Fastighetsblock</w:t>
            </w:r>
          </w:p>
        </w:tc>
        <w:tc>
          <w:tcPr>
            <w:tcW w:w="1100" w:type="dxa"/>
            <w:noWrap/>
            <w:hideMark/>
          </w:tcPr>
          <w:p w:rsidR="0081783C" w:rsidRPr="00222EB2" w:rsidRDefault="0081783C" w:rsidP="0081783C">
            <w:pPr>
              <w:pStyle w:val="Brdtext"/>
              <w:rPr>
                <w:b/>
                <w:bCs/>
              </w:rPr>
            </w:pPr>
            <w:r w:rsidRPr="00222EB2">
              <w:rPr>
                <w:b/>
                <w:bCs/>
              </w:rPr>
              <w:t>Skogsmark</w:t>
            </w:r>
          </w:p>
        </w:tc>
        <w:tc>
          <w:tcPr>
            <w:tcW w:w="1340" w:type="dxa"/>
            <w:noWrap/>
            <w:hideMark/>
          </w:tcPr>
          <w:p w:rsidR="0081783C" w:rsidRPr="00222EB2" w:rsidRDefault="0081783C" w:rsidP="0081783C">
            <w:pPr>
              <w:pStyle w:val="Brdtext"/>
              <w:rPr>
                <w:b/>
                <w:bCs/>
              </w:rPr>
            </w:pPr>
            <w:r w:rsidRPr="00222EB2">
              <w:rPr>
                <w:b/>
                <w:bCs/>
              </w:rPr>
              <w:t>Impediment*</w:t>
            </w:r>
          </w:p>
        </w:tc>
        <w:tc>
          <w:tcPr>
            <w:tcW w:w="1100" w:type="dxa"/>
            <w:noWrap/>
            <w:hideMark/>
          </w:tcPr>
          <w:p w:rsidR="0081783C" w:rsidRPr="00222EB2" w:rsidRDefault="0081783C" w:rsidP="0081783C">
            <w:pPr>
              <w:pStyle w:val="Brdtext"/>
              <w:rPr>
                <w:b/>
                <w:bCs/>
              </w:rPr>
            </w:pPr>
            <w:r w:rsidRPr="00222EB2">
              <w:rPr>
                <w:b/>
                <w:bCs/>
              </w:rPr>
              <w:t>Inäga/åker</w:t>
            </w:r>
          </w:p>
        </w:tc>
        <w:tc>
          <w:tcPr>
            <w:tcW w:w="1100" w:type="dxa"/>
            <w:noWrap/>
            <w:hideMark/>
          </w:tcPr>
          <w:p w:rsidR="0081783C" w:rsidRPr="00222EB2" w:rsidRDefault="0081783C" w:rsidP="0081783C">
            <w:pPr>
              <w:pStyle w:val="Brdtext"/>
              <w:rPr>
                <w:b/>
                <w:bCs/>
              </w:rPr>
            </w:pPr>
            <w:r w:rsidRPr="00222EB2">
              <w:rPr>
                <w:b/>
                <w:bCs/>
              </w:rPr>
              <w:t>Övrig mark</w:t>
            </w:r>
          </w:p>
        </w:tc>
      </w:tr>
      <w:tr w:rsidR="0081783C" w:rsidRPr="00222EB2" w:rsidTr="0081783C">
        <w:trPr>
          <w:trHeight w:val="300"/>
        </w:trPr>
        <w:tc>
          <w:tcPr>
            <w:tcW w:w="2260" w:type="dxa"/>
            <w:noWrap/>
            <w:hideMark/>
          </w:tcPr>
          <w:p w:rsidR="0081783C" w:rsidRPr="00222EB2" w:rsidRDefault="0081783C" w:rsidP="0081783C">
            <w:pPr>
              <w:pStyle w:val="Brdtext"/>
            </w:pPr>
            <w:r w:rsidRPr="00222EB2">
              <w:t>Axelfors (Svenljunga)</w:t>
            </w:r>
          </w:p>
        </w:tc>
        <w:tc>
          <w:tcPr>
            <w:tcW w:w="1100" w:type="dxa"/>
            <w:noWrap/>
            <w:hideMark/>
          </w:tcPr>
          <w:p w:rsidR="0081783C" w:rsidRPr="00222EB2" w:rsidRDefault="0081783C" w:rsidP="0081783C">
            <w:pPr>
              <w:pStyle w:val="Brdtext"/>
            </w:pPr>
            <w:r w:rsidRPr="00222EB2">
              <w:t>5</w:t>
            </w:r>
          </w:p>
        </w:tc>
        <w:tc>
          <w:tcPr>
            <w:tcW w:w="1340" w:type="dxa"/>
            <w:noWrap/>
            <w:hideMark/>
          </w:tcPr>
          <w:p w:rsidR="0081783C" w:rsidRPr="00222EB2" w:rsidRDefault="0081783C" w:rsidP="0081783C">
            <w:pPr>
              <w:pStyle w:val="Brdtext"/>
            </w:pPr>
            <w:r w:rsidRPr="00222EB2">
              <w:t>0</w:t>
            </w:r>
          </w:p>
        </w:tc>
        <w:tc>
          <w:tcPr>
            <w:tcW w:w="1100" w:type="dxa"/>
            <w:noWrap/>
            <w:hideMark/>
          </w:tcPr>
          <w:p w:rsidR="0081783C" w:rsidRPr="00222EB2" w:rsidRDefault="0081783C" w:rsidP="0081783C">
            <w:pPr>
              <w:pStyle w:val="Brdtext"/>
            </w:pPr>
            <w:r w:rsidRPr="00222EB2">
              <w:t>0</w:t>
            </w:r>
          </w:p>
        </w:tc>
        <w:tc>
          <w:tcPr>
            <w:tcW w:w="1100" w:type="dxa"/>
            <w:noWrap/>
            <w:hideMark/>
          </w:tcPr>
          <w:p w:rsidR="0081783C" w:rsidRPr="00222EB2" w:rsidRDefault="0081783C" w:rsidP="0081783C">
            <w:pPr>
              <w:pStyle w:val="Brdtext"/>
            </w:pPr>
            <w:r w:rsidRPr="00222EB2">
              <w:t>0,2</w:t>
            </w:r>
          </w:p>
        </w:tc>
      </w:tr>
      <w:tr w:rsidR="0081783C" w:rsidRPr="00222EB2" w:rsidTr="0081783C">
        <w:trPr>
          <w:trHeight w:val="290"/>
        </w:trPr>
        <w:tc>
          <w:tcPr>
            <w:tcW w:w="2260" w:type="dxa"/>
            <w:noWrap/>
            <w:hideMark/>
          </w:tcPr>
          <w:p w:rsidR="0081783C" w:rsidRPr="00222EB2" w:rsidRDefault="0081783C" w:rsidP="0081783C">
            <w:pPr>
              <w:pStyle w:val="Brdtext"/>
            </w:pPr>
            <w:proofErr w:type="spellStart"/>
            <w:r w:rsidRPr="00222EB2">
              <w:t>Hulta-Haby</w:t>
            </w:r>
            <w:proofErr w:type="spellEnd"/>
            <w:r w:rsidRPr="00222EB2">
              <w:t xml:space="preserve"> (Mark)</w:t>
            </w:r>
          </w:p>
        </w:tc>
        <w:tc>
          <w:tcPr>
            <w:tcW w:w="1100" w:type="dxa"/>
            <w:noWrap/>
            <w:hideMark/>
          </w:tcPr>
          <w:p w:rsidR="0081783C" w:rsidRPr="00222EB2" w:rsidRDefault="0081783C" w:rsidP="0081783C">
            <w:pPr>
              <w:pStyle w:val="Brdtext"/>
            </w:pPr>
            <w:r w:rsidRPr="00222EB2">
              <w:t>39,5</w:t>
            </w:r>
          </w:p>
        </w:tc>
        <w:tc>
          <w:tcPr>
            <w:tcW w:w="1340" w:type="dxa"/>
            <w:noWrap/>
            <w:hideMark/>
          </w:tcPr>
          <w:p w:rsidR="0081783C" w:rsidRPr="00222EB2" w:rsidRDefault="0081783C" w:rsidP="0081783C">
            <w:pPr>
              <w:pStyle w:val="Brdtext"/>
            </w:pPr>
            <w:r w:rsidRPr="00222EB2">
              <w:t>2,1</w:t>
            </w:r>
          </w:p>
        </w:tc>
        <w:tc>
          <w:tcPr>
            <w:tcW w:w="1100" w:type="dxa"/>
            <w:noWrap/>
            <w:hideMark/>
          </w:tcPr>
          <w:p w:rsidR="0081783C" w:rsidRPr="00222EB2" w:rsidRDefault="0081783C" w:rsidP="0081783C">
            <w:pPr>
              <w:pStyle w:val="Brdtext"/>
            </w:pPr>
            <w:r w:rsidRPr="00222EB2">
              <w:t>11,5</w:t>
            </w:r>
          </w:p>
        </w:tc>
        <w:tc>
          <w:tcPr>
            <w:tcW w:w="1100" w:type="dxa"/>
            <w:noWrap/>
            <w:hideMark/>
          </w:tcPr>
          <w:p w:rsidR="0081783C" w:rsidRPr="00222EB2" w:rsidRDefault="0081783C" w:rsidP="0081783C">
            <w:pPr>
              <w:pStyle w:val="Brdtext"/>
            </w:pPr>
            <w:r w:rsidRPr="00222EB2">
              <w:t>4,6</w:t>
            </w:r>
          </w:p>
        </w:tc>
      </w:tr>
      <w:tr w:rsidR="0081783C" w:rsidRPr="00222EB2" w:rsidTr="0081783C">
        <w:trPr>
          <w:trHeight w:val="300"/>
        </w:trPr>
        <w:tc>
          <w:tcPr>
            <w:tcW w:w="2260" w:type="dxa"/>
            <w:noWrap/>
            <w:hideMark/>
          </w:tcPr>
          <w:p w:rsidR="0081783C" w:rsidRPr="00222EB2" w:rsidRDefault="0081783C" w:rsidP="0081783C">
            <w:pPr>
              <w:pStyle w:val="Brdtext"/>
            </w:pPr>
            <w:proofErr w:type="spellStart"/>
            <w:r w:rsidRPr="00222EB2">
              <w:t>Hofsnäs</w:t>
            </w:r>
            <w:proofErr w:type="spellEnd"/>
            <w:r w:rsidRPr="00222EB2">
              <w:t xml:space="preserve"> (Tranemo)</w:t>
            </w:r>
          </w:p>
        </w:tc>
        <w:tc>
          <w:tcPr>
            <w:tcW w:w="1100" w:type="dxa"/>
            <w:noWrap/>
            <w:hideMark/>
          </w:tcPr>
          <w:p w:rsidR="0081783C" w:rsidRPr="00222EB2" w:rsidRDefault="0081783C" w:rsidP="0081783C">
            <w:pPr>
              <w:pStyle w:val="Brdtext"/>
            </w:pPr>
            <w:r w:rsidRPr="00222EB2">
              <w:t>526,3</w:t>
            </w:r>
          </w:p>
        </w:tc>
        <w:tc>
          <w:tcPr>
            <w:tcW w:w="1340" w:type="dxa"/>
            <w:noWrap/>
            <w:hideMark/>
          </w:tcPr>
          <w:p w:rsidR="0081783C" w:rsidRPr="00222EB2" w:rsidRDefault="0081783C" w:rsidP="0081783C">
            <w:pPr>
              <w:pStyle w:val="Brdtext"/>
            </w:pPr>
            <w:r w:rsidRPr="00222EB2">
              <w:t>20,9</w:t>
            </w:r>
          </w:p>
        </w:tc>
        <w:tc>
          <w:tcPr>
            <w:tcW w:w="1100" w:type="dxa"/>
            <w:noWrap/>
            <w:hideMark/>
          </w:tcPr>
          <w:p w:rsidR="0081783C" w:rsidRPr="00222EB2" w:rsidRDefault="0081783C" w:rsidP="0081783C">
            <w:pPr>
              <w:pStyle w:val="Brdtext"/>
            </w:pPr>
            <w:r w:rsidRPr="00222EB2">
              <w:t>57,7</w:t>
            </w:r>
          </w:p>
        </w:tc>
        <w:tc>
          <w:tcPr>
            <w:tcW w:w="1100" w:type="dxa"/>
            <w:noWrap/>
            <w:hideMark/>
          </w:tcPr>
          <w:p w:rsidR="0081783C" w:rsidRPr="00222EB2" w:rsidRDefault="0081783C" w:rsidP="0081783C">
            <w:pPr>
              <w:pStyle w:val="Brdtext"/>
            </w:pPr>
            <w:r w:rsidRPr="00222EB2">
              <w:t>14,3</w:t>
            </w:r>
          </w:p>
        </w:tc>
      </w:tr>
    </w:tbl>
    <w:p w:rsidR="0081783C" w:rsidRDefault="0081783C" w:rsidP="0081783C">
      <w:pPr>
        <w:pStyle w:val="Brdtext"/>
      </w:pPr>
      <w:r>
        <w:t>*Med impediment avses ”</w:t>
      </w:r>
      <w:r w:rsidRPr="00222EB2">
        <w:rPr>
          <w:i/>
        </w:rPr>
        <w:t>mark vars virkesproducerande förmåga är mindre än 1 m³sk per hektar och år</w:t>
      </w:r>
      <w:r>
        <w:t>”. I skogsmarksimpedimenten ingår t.ex. myrar, kärr, berg och hällmarker.</w:t>
      </w:r>
    </w:p>
    <w:p w:rsidR="0081783C" w:rsidRDefault="0081783C" w:rsidP="0081783C">
      <w:pPr>
        <w:pStyle w:val="Brdtext"/>
      </w:pPr>
      <w:r>
        <w:t xml:space="preserve">För fastighetsinnehaven i Mark och Svenljunga är syftet att äga fallrättigheter för att kunna producera el med hjälp av vattenkraft. Syftet med förvärvet av </w:t>
      </w:r>
      <w:proofErr w:type="spellStart"/>
      <w:r>
        <w:t>Hofsnäs</w:t>
      </w:r>
      <w:proofErr w:type="spellEnd"/>
      <w:r>
        <w:t xml:space="preserve"> var framförallt att åstadkomma ett fritids- och rekreationsområde för boråsare (beslutat 1965).</w:t>
      </w:r>
    </w:p>
    <w:p w:rsidR="0081783C" w:rsidRDefault="0081783C" w:rsidP="0081783C">
      <w:pPr>
        <w:pStyle w:val="Brdtext"/>
      </w:pPr>
      <w:r>
        <w:t xml:space="preserve">I </w:t>
      </w:r>
      <w:proofErr w:type="spellStart"/>
      <w:r>
        <w:t>Hofsnäs</w:t>
      </w:r>
      <w:proofErr w:type="spellEnd"/>
      <w:r>
        <w:t xml:space="preserve">, som mer än 50 år senare är ett av Borås Stads mest välbesökta och uppskattade friluftsområden, är ca 49 procent (256,3 ha) av skogsmarken klassad som frilufts- och naturvårdsskog och resterande del (270 ha) som produktionsskog. Det är viktigt att poängtera att samtliga bestånd (skogsmarkens skötselenheter) är målklassade utifrån befintliga naturvärden och </w:t>
      </w:r>
      <w:r w:rsidRPr="000D7606">
        <w:rPr>
          <w:i/>
        </w:rPr>
        <w:t>är spridda över hela arealen – det finns således inget samlat block med ren produktionsskog</w:t>
      </w:r>
      <w:r>
        <w:t xml:space="preserve"> utan frilufts- och naturvårdsmål.</w:t>
      </w:r>
    </w:p>
    <w:p w:rsidR="00D11200" w:rsidRDefault="0081783C" w:rsidP="0081783C">
      <w:pPr>
        <w:pStyle w:val="Brdtext"/>
        <w:rPr>
          <w:color w:val="FF0000"/>
        </w:rPr>
      </w:pPr>
      <w:r>
        <w:t xml:space="preserve">Att Borås Stad äger mark kan vara en garant för framtida satsningar inom t ex förnybar energiproduktion, </w:t>
      </w:r>
      <w:r w:rsidRPr="00DA0802">
        <w:t>vilka är beroende av tillgång till lämplig mark</w:t>
      </w:r>
      <w:r>
        <w:t xml:space="preserve">. Att Borås Stad äger produktiv skogsmark är också en del av stadens kapitalförvaltning, med årlig avkastning som bidrar med driftsmedel till </w:t>
      </w:r>
      <w:r w:rsidRPr="00F95894">
        <w:t>kommunkoncernen</w:t>
      </w:r>
      <w:r w:rsidRPr="003C3A8E">
        <w:rPr>
          <w:color w:val="FF0000"/>
        </w:rPr>
        <w:t>.</w:t>
      </w:r>
    </w:p>
    <w:p w:rsidR="003C3A8E" w:rsidRPr="003C3A8E" w:rsidRDefault="003C3A8E" w:rsidP="0081783C">
      <w:pPr>
        <w:pStyle w:val="Brdtext"/>
      </w:pPr>
      <w:r w:rsidRPr="003C3A8E">
        <w:rPr>
          <w:color w:val="FF0000"/>
        </w:rPr>
        <w:t xml:space="preserve">Däremot ska skogsförvaltningen utgå från de riktlinjer som kommunen fastställt som bland annat lyder: </w:t>
      </w:r>
      <w:r w:rsidRPr="001B7FB7">
        <w:rPr>
          <w:i/>
          <w:color w:val="FF0000"/>
        </w:rPr>
        <w:t>God skogsförvaltning är beroende av en planeringshorisont som sträcker sig över flera generationer.</w:t>
      </w:r>
      <w:r>
        <w:rPr>
          <w:color w:val="FF0000"/>
        </w:rPr>
        <w:t xml:space="preserve"> </w:t>
      </w:r>
      <w:r w:rsidRPr="003C3A8E">
        <w:rPr>
          <w:color w:val="FF0000"/>
        </w:rPr>
        <w:t>Att investera i både skola och äldreomsorg redan nu, genom att sälja skogen, är att agera enligt en lång planeringshorisont för flera generationer.</w:t>
      </w:r>
    </w:p>
    <w:p w:rsidR="00EF1B04" w:rsidRPr="001B7FB7" w:rsidRDefault="0081783C" w:rsidP="00EF1B04">
      <w:pPr>
        <w:pStyle w:val="Brdtext"/>
        <w:rPr>
          <w:strike/>
          <w:color w:val="FF0000"/>
        </w:rPr>
      </w:pPr>
      <w:r w:rsidRPr="001B7FB7">
        <w:rPr>
          <w:strike/>
          <w:color w:val="FF0000"/>
        </w:rPr>
        <w:lastRenderedPageBreak/>
        <w:t>I grunden är det inte mer anmärkningsvärt att staden äger skog i andra kommuner, än att staden, till exempel via företagsobligationsfonder, placerar pengar i företag som har sitt säte i andra kommuner. Att äga tillgångar i form av mark i närområdet innebär ökad riskspridning, vilket utgör grunden i god kapitalförvaltning.</w:t>
      </w:r>
    </w:p>
    <w:p w:rsidR="0081783C" w:rsidRPr="00EF1B04" w:rsidRDefault="0081783C" w:rsidP="00EF1B04">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w:t>
      </w:r>
      <w:r w:rsidR="0081783C">
        <w:t>dömning</w:t>
      </w:r>
    </w:p>
    <w:p w:rsidR="0081783C" w:rsidRPr="00E807A3" w:rsidRDefault="0081783C" w:rsidP="0081783C">
      <w:pPr>
        <w:pStyle w:val="Brdtext"/>
        <w:rPr>
          <w:color w:val="FF0000"/>
        </w:rPr>
      </w:pPr>
      <w:bookmarkStart w:id="5" w:name="Forslag"/>
      <w:bookmarkEnd w:id="5"/>
      <w:r w:rsidRPr="001B7FB7">
        <w:rPr>
          <w:strike/>
          <w:color w:val="FF0000"/>
          <w:szCs w:val="24"/>
        </w:rPr>
        <w:t>Stadens markinnehav i andra kommuner är välmotiverat, utifrån flera faktorer.</w:t>
      </w:r>
      <w:r w:rsidRPr="001B7FB7">
        <w:rPr>
          <w:color w:val="FF0000"/>
          <w:szCs w:val="24"/>
        </w:rPr>
        <w:t xml:space="preserve"> </w:t>
      </w:r>
      <w:r>
        <w:rPr>
          <w:szCs w:val="24"/>
        </w:rPr>
        <w:t xml:space="preserve">Huvuddelen av Borås Stads produktionsskog i andra kommuner är samlad kring </w:t>
      </w:r>
      <w:proofErr w:type="spellStart"/>
      <w:r>
        <w:rPr>
          <w:szCs w:val="24"/>
        </w:rPr>
        <w:t>Hofsnäs</w:t>
      </w:r>
      <w:proofErr w:type="spellEnd"/>
      <w:r>
        <w:rPr>
          <w:szCs w:val="24"/>
        </w:rPr>
        <w:t xml:space="preserve"> i Tranemo kommun, och där insprängd i marker med mycket stort rekreationsvärde för boråsare</w:t>
      </w:r>
      <w:bookmarkStart w:id="6" w:name="ForslagSlut"/>
      <w:bookmarkEnd w:id="6"/>
      <w:r w:rsidRPr="00E807A3">
        <w:rPr>
          <w:szCs w:val="24"/>
        </w:rPr>
        <w:t>.</w:t>
      </w:r>
      <w:r w:rsidR="00E807A3" w:rsidRPr="00E807A3">
        <w:rPr>
          <w:szCs w:val="24"/>
        </w:rPr>
        <w:t xml:space="preserve"> </w:t>
      </w:r>
      <w:r w:rsidR="00E807A3" w:rsidRPr="003C3A8E">
        <w:rPr>
          <w:color w:val="FF0000"/>
        </w:rPr>
        <w:t xml:space="preserve">Enligt enheten för park och skog på Tekniska förvaltningen är ca hälften av skogen benämnd som produktiv skogsmark, som både är attraktiv för andra kommuner men också privata intressenter. </w:t>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EE1237" w:rsidRDefault="006C5893" w:rsidP="009D6A94">
      <w:pPr>
        <w:pStyle w:val="Brdtext"/>
        <w:spacing w:after="0"/>
      </w:pPr>
      <w:r>
        <w:t xml:space="preserve">1. </w:t>
      </w:r>
      <w:r w:rsidR="009D6A94">
        <w:t>Tekniska nämnden</w:t>
      </w:r>
    </w:p>
    <w:p w:rsidR="00EE1237" w:rsidRDefault="00EE1237" w:rsidP="00EE1237">
      <w:pPr>
        <w:pStyle w:val="Brdtext"/>
      </w:pPr>
    </w:p>
    <w:p w:rsidR="00AC541B" w:rsidRPr="00EE1237" w:rsidRDefault="00AC541B" w:rsidP="00EE1237">
      <w:pPr>
        <w:pStyle w:val="Brdtext"/>
        <w:rPr>
          <w:vanish/>
        </w:rPr>
      </w:pPr>
    </w:p>
    <w:p w:rsidR="00EE1237" w:rsidRPr="00EE1237" w:rsidRDefault="00EE1237" w:rsidP="00EE1237">
      <w:pPr>
        <w:pStyle w:val="Brdtext"/>
        <w:rPr>
          <w:vanish/>
        </w:rPr>
      </w:pPr>
    </w:p>
    <w:p w:rsidR="00AC541B" w:rsidRDefault="00AC541B" w:rsidP="00AC541B">
      <w:pPr>
        <w:rPr>
          <w:rFonts w:cs="Calibri"/>
          <w:b/>
        </w:rPr>
      </w:pPr>
      <w:r>
        <w:rPr>
          <w:rFonts w:cs="Calibri"/>
          <w:b/>
        </w:rPr>
        <w:t xml:space="preserve">Allianspartierna i Borås </w:t>
      </w:r>
    </w:p>
    <w:p w:rsidR="00AC541B" w:rsidRDefault="00AC541B" w:rsidP="00AC541B">
      <w:pPr>
        <w:spacing w:line="240" w:lineRule="auto"/>
        <w:rPr>
          <w:rFonts w:cs="Calibri"/>
          <w:b/>
        </w:rPr>
      </w:pPr>
    </w:p>
    <w:p w:rsidR="00AC541B" w:rsidRDefault="00E807A3" w:rsidP="00AC541B">
      <w:pPr>
        <w:spacing w:line="240" w:lineRule="auto"/>
        <w:rPr>
          <w:rFonts w:cs="Calibri"/>
          <w:b/>
        </w:rPr>
      </w:pPr>
      <w:r>
        <w:rPr>
          <w:rFonts w:cs="Calibri"/>
          <w:b/>
        </w:rPr>
        <w:t>Kristdemokraterna</w:t>
      </w:r>
      <w:r w:rsidR="00AC541B">
        <w:rPr>
          <w:rFonts w:cs="Calibri"/>
          <w:b/>
        </w:rPr>
        <w:tab/>
      </w:r>
      <w:r w:rsidR="00AC541B">
        <w:rPr>
          <w:rFonts w:cs="Calibri"/>
          <w:b/>
        </w:rPr>
        <w:tab/>
      </w:r>
      <w:r>
        <w:rPr>
          <w:rFonts w:cs="Calibri"/>
          <w:b/>
        </w:rPr>
        <w:t>Moderaterna</w:t>
      </w:r>
      <w:r w:rsidR="00AC541B">
        <w:rPr>
          <w:rFonts w:cs="Calibri"/>
          <w:b/>
        </w:rPr>
        <w:t xml:space="preserve"> </w:t>
      </w:r>
    </w:p>
    <w:p w:rsidR="00AC541B" w:rsidRDefault="00AC541B" w:rsidP="00AC541B">
      <w:pPr>
        <w:spacing w:line="240" w:lineRule="auto"/>
        <w:rPr>
          <w:rFonts w:cs="Calibri"/>
          <w:b/>
        </w:rPr>
      </w:pPr>
    </w:p>
    <w:p w:rsidR="00AC541B" w:rsidRPr="007F0749" w:rsidRDefault="00E807A3" w:rsidP="00AC541B">
      <w:pPr>
        <w:spacing w:line="240" w:lineRule="auto"/>
      </w:pPr>
      <w:r>
        <w:rPr>
          <w:rFonts w:cs="Calibri"/>
        </w:rPr>
        <w:t>Niklas Arvidsson</w:t>
      </w:r>
      <w:r w:rsidR="00AC541B">
        <w:rPr>
          <w:rFonts w:cs="Calibri"/>
        </w:rPr>
        <w:tab/>
      </w:r>
      <w:r w:rsidR="00AC541B">
        <w:rPr>
          <w:rFonts w:cs="Calibri"/>
        </w:rPr>
        <w:tab/>
      </w:r>
      <w:r>
        <w:rPr>
          <w:rFonts w:cs="Calibri"/>
        </w:rPr>
        <w:t>Annette Carlson</w:t>
      </w:r>
      <w:r w:rsidR="00AC541B">
        <w:rPr>
          <w:rFonts w:cs="Calibri"/>
        </w:rPr>
        <w:t xml:space="preserve"> </w:t>
      </w:r>
    </w:p>
    <w:p w:rsidR="00664F1B" w:rsidRDefault="00664F1B" w:rsidP="0081783C">
      <w:pPr>
        <w:pStyle w:val="Brdtext"/>
        <w:spacing w:after="0"/>
      </w:pPr>
    </w:p>
    <w:p w:rsidR="00664F1B" w:rsidRPr="00664F1B" w:rsidRDefault="00664F1B" w:rsidP="00664F1B"/>
    <w:p w:rsidR="00664F1B" w:rsidRPr="00664F1B" w:rsidRDefault="00664F1B" w:rsidP="00664F1B"/>
    <w:p w:rsidR="00664F1B" w:rsidRPr="00664F1B" w:rsidRDefault="00664F1B" w:rsidP="00664F1B"/>
    <w:p w:rsidR="00664F1B" w:rsidRDefault="00664F1B" w:rsidP="00664F1B"/>
    <w:p w:rsidR="00664F1B" w:rsidRPr="00664F1B" w:rsidRDefault="00664F1B" w:rsidP="00664F1B"/>
    <w:p w:rsidR="00664F1B" w:rsidRPr="00664F1B" w:rsidRDefault="00664F1B" w:rsidP="00664F1B"/>
    <w:p w:rsidR="00664F1B" w:rsidRPr="00664F1B" w:rsidRDefault="00664F1B" w:rsidP="00664F1B"/>
    <w:p w:rsidR="00375E69" w:rsidRPr="00664F1B" w:rsidRDefault="00375E69" w:rsidP="00664F1B"/>
    <w:sectPr w:rsidR="00375E69" w:rsidRPr="00664F1B"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B7" w:rsidRDefault="001B7FB7" w:rsidP="00A80039">
      <w:pPr>
        <w:pStyle w:val="Tabellinnehll"/>
      </w:pPr>
      <w:r>
        <w:separator/>
      </w:r>
    </w:p>
  </w:endnote>
  <w:endnote w:type="continuationSeparator" w:id="0">
    <w:p w:rsidR="001B7FB7" w:rsidRDefault="001B7FB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B7" w:rsidRDefault="001B7FB7" w:rsidP="00664F1B">
    <w:pPr>
      <w:pStyle w:val="Sidfot"/>
      <w:spacing w:before="240"/>
      <w:jc w:val="center"/>
    </w:pPr>
    <w:r w:rsidRPr="00DF2040">
      <w:rPr>
        <w:noProof/>
      </w:rPr>
      <w:drawing>
        <wp:inline distT="0" distB="0" distL="0" distR="0" wp14:anchorId="3C4028FB" wp14:editId="0470EF5E">
          <wp:extent cx="2736850" cy="1270000"/>
          <wp:effectExtent l="0" t="0" r="6350" b="6350"/>
          <wp:docPr id="3" name="Bildobjekt 3"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B7" w:rsidRDefault="001B7FB7"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1B7FB7" w:rsidTr="000022F5">
      <w:trPr>
        <w:trHeight w:val="480"/>
      </w:trPr>
      <w:tc>
        <w:tcPr>
          <w:tcW w:w="10433" w:type="dxa"/>
          <w:gridSpan w:val="5"/>
          <w:tcBorders>
            <w:bottom w:val="single" w:sz="4" w:space="0" w:color="auto"/>
          </w:tcBorders>
          <w:vAlign w:val="bottom"/>
        </w:tcPr>
        <w:p w:rsidR="001B7FB7" w:rsidRPr="005B5CE4" w:rsidRDefault="001B7FB7" w:rsidP="0092549B">
          <w:pPr>
            <w:pStyle w:val="Sidfot"/>
            <w:spacing w:after="60"/>
            <w:rPr>
              <w:sz w:val="20"/>
            </w:rPr>
          </w:pPr>
          <w:r>
            <w:rPr>
              <w:sz w:val="20"/>
            </w:rPr>
            <w:t>Kommunstyrelsen</w:t>
          </w:r>
        </w:p>
      </w:tc>
    </w:tr>
    <w:tr w:rsidR="001B7FB7" w:rsidTr="00755107">
      <w:trPr>
        <w:trHeight w:val="480"/>
      </w:trPr>
      <w:tc>
        <w:tcPr>
          <w:tcW w:w="2244" w:type="dxa"/>
          <w:tcBorders>
            <w:top w:val="single" w:sz="4" w:space="0" w:color="auto"/>
          </w:tcBorders>
        </w:tcPr>
        <w:p w:rsidR="001B7FB7" w:rsidRDefault="001B7FB7" w:rsidP="0092549B">
          <w:pPr>
            <w:pStyle w:val="Sidfotledtext"/>
          </w:pPr>
          <w:r>
            <w:t>Postadress</w:t>
          </w:r>
        </w:p>
        <w:p w:rsidR="001B7FB7" w:rsidRDefault="001B7FB7" w:rsidP="0092549B">
          <w:pPr>
            <w:pStyle w:val="Sidfot"/>
          </w:pPr>
          <w:r>
            <w:t>501 80 Borås</w:t>
          </w:r>
        </w:p>
      </w:tc>
      <w:tc>
        <w:tcPr>
          <w:tcW w:w="2247" w:type="dxa"/>
          <w:tcBorders>
            <w:top w:val="single" w:sz="4" w:space="0" w:color="auto"/>
          </w:tcBorders>
        </w:tcPr>
        <w:p w:rsidR="001B7FB7" w:rsidRPr="006B0841" w:rsidRDefault="001B7FB7" w:rsidP="0092549B">
          <w:pPr>
            <w:pStyle w:val="Sidfotledtext"/>
          </w:pPr>
          <w:r>
            <w:t>Besöksadress</w:t>
          </w:r>
        </w:p>
        <w:p w:rsidR="001B7FB7" w:rsidRDefault="001B7FB7" w:rsidP="0092549B">
          <w:pPr>
            <w:pStyle w:val="Sidfot"/>
          </w:pPr>
          <w:r>
            <w:t>Kungsgatan 55</w:t>
          </w:r>
        </w:p>
      </w:tc>
      <w:tc>
        <w:tcPr>
          <w:tcW w:w="2228" w:type="dxa"/>
          <w:tcBorders>
            <w:top w:val="single" w:sz="4" w:space="0" w:color="auto"/>
          </w:tcBorders>
        </w:tcPr>
        <w:p w:rsidR="001B7FB7" w:rsidRDefault="001B7FB7" w:rsidP="0092549B">
          <w:pPr>
            <w:pStyle w:val="Sidfotledtext"/>
          </w:pPr>
          <w:r>
            <w:t>Hemsida</w:t>
          </w:r>
        </w:p>
        <w:p w:rsidR="001B7FB7" w:rsidRDefault="001B7FB7" w:rsidP="0092549B">
          <w:pPr>
            <w:pStyle w:val="Sidfot"/>
          </w:pPr>
          <w:r>
            <w:t>boras.se</w:t>
          </w:r>
        </w:p>
      </w:tc>
      <w:tc>
        <w:tcPr>
          <w:tcW w:w="2411" w:type="dxa"/>
          <w:tcBorders>
            <w:top w:val="single" w:sz="4" w:space="0" w:color="auto"/>
          </w:tcBorders>
        </w:tcPr>
        <w:p w:rsidR="001B7FB7" w:rsidRDefault="001B7FB7" w:rsidP="0092549B">
          <w:pPr>
            <w:pStyle w:val="Sidfotledtext"/>
          </w:pPr>
          <w:r>
            <w:t>E-post</w:t>
          </w:r>
        </w:p>
        <w:p w:rsidR="001B7FB7" w:rsidRDefault="001B7FB7" w:rsidP="0092549B">
          <w:pPr>
            <w:pStyle w:val="Sidfot"/>
          </w:pPr>
          <w:r>
            <w:t>boras.stad@boras.se</w:t>
          </w:r>
        </w:p>
      </w:tc>
      <w:tc>
        <w:tcPr>
          <w:tcW w:w="1303" w:type="dxa"/>
          <w:tcBorders>
            <w:top w:val="single" w:sz="4" w:space="0" w:color="auto"/>
          </w:tcBorders>
        </w:tcPr>
        <w:p w:rsidR="001B7FB7" w:rsidRDefault="001B7FB7" w:rsidP="0092549B">
          <w:pPr>
            <w:pStyle w:val="Sidfotledtext"/>
          </w:pPr>
          <w:r>
            <w:t>Telefon</w:t>
          </w:r>
        </w:p>
        <w:p w:rsidR="001B7FB7" w:rsidRDefault="001B7FB7" w:rsidP="0092549B">
          <w:pPr>
            <w:pStyle w:val="Sidfot"/>
          </w:pPr>
          <w:r>
            <w:t xml:space="preserve">033-35 70 00 </w:t>
          </w:r>
          <w:proofErr w:type="spellStart"/>
          <w:r>
            <w:t>vxl</w:t>
          </w:r>
          <w:proofErr w:type="spellEnd"/>
        </w:p>
      </w:tc>
    </w:tr>
  </w:tbl>
  <w:p w:rsidR="001B7FB7" w:rsidRDefault="001B7FB7"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B7" w:rsidRDefault="001B7FB7" w:rsidP="00A80039">
      <w:pPr>
        <w:pStyle w:val="Tabellinnehll"/>
      </w:pPr>
      <w:r>
        <w:separator/>
      </w:r>
    </w:p>
  </w:footnote>
  <w:footnote w:type="continuationSeparator" w:id="0">
    <w:p w:rsidR="001B7FB7" w:rsidRDefault="001B7FB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1B7FB7" w:rsidRPr="001E0EDC" w:rsidTr="005D7923">
      <w:trPr>
        <w:cantSplit/>
        <w:trHeight w:val="480"/>
      </w:trPr>
      <w:tc>
        <w:tcPr>
          <w:tcW w:w="5216" w:type="dxa"/>
        </w:tcPr>
        <w:p w:rsidR="001B7FB7" w:rsidRPr="001E0EDC" w:rsidRDefault="001B7FB7" w:rsidP="004F2690">
          <w:pPr>
            <w:pStyle w:val="Sidhuvud"/>
            <w:spacing w:before="220"/>
          </w:pPr>
          <w:r>
            <w:t>Borås Stad</w:t>
          </w:r>
        </w:p>
      </w:tc>
      <w:tc>
        <w:tcPr>
          <w:tcW w:w="1956" w:type="dxa"/>
        </w:tcPr>
        <w:p w:rsidR="001B7FB7" w:rsidRPr="00BA066B" w:rsidRDefault="001B7FB7" w:rsidP="00BE1F14">
          <w:pPr>
            <w:pStyle w:val="Sidhuvudledtext"/>
          </w:pPr>
        </w:p>
      </w:tc>
      <w:tc>
        <w:tcPr>
          <w:tcW w:w="1956" w:type="dxa"/>
        </w:tcPr>
        <w:p w:rsidR="001B7FB7" w:rsidRPr="00BA066B" w:rsidRDefault="001B7FB7" w:rsidP="004F2690">
          <w:pPr>
            <w:pStyle w:val="Sidhuvud"/>
          </w:pPr>
        </w:p>
      </w:tc>
      <w:tc>
        <w:tcPr>
          <w:tcW w:w="1304" w:type="dxa"/>
        </w:tcPr>
        <w:p w:rsidR="001B7FB7" w:rsidRPr="00BA066B" w:rsidRDefault="001B7FB7" w:rsidP="004F2690">
          <w:pPr>
            <w:pStyle w:val="Sidhuvudledtext"/>
          </w:pPr>
          <w:r>
            <w:t>Sida</w:t>
          </w:r>
        </w:p>
        <w:p w:rsidR="001B7FB7" w:rsidRPr="00BA066B" w:rsidRDefault="001B7FB7" w:rsidP="004F2690">
          <w:pPr>
            <w:pStyle w:val="Sidhuvud"/>
          </w:pPr>
          <w:r>
            <w:rPr>
              <w:rStyle w:val="Sidnummer"/>
            </w:rPr>
            <w:fldChar w:fldCharType="begin"/>
          </w:r>
          <w:r>
            <w:rPr>
              <w:rStyle w:val="Sidnummer"/>
            </w:rPr>
            <w:instrText xml:space="preserve"> PAGE </w:instrText>
          </w:r>
          <w:r>
            <w:rPr>
              <w:rStyle w:val="Sidnummer"/>
            </w:rPr>
            <w:fldChar w:fldCharType="separate"/>
          </w:r>
          <w:r w:rsidR="005E5057">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E5057">
            <w:rPr>
              <w:rStyle w:val="Sidnummer"/>
              <w:noProof/>
            </w:rPr>
            <w:t>3</w:t>
          </w:r>
          <w:r w:rsidRPr="00BA066B">
            <w:rPr>
              <w:rStyle w:val="Sidnummer"/>
            </w:rPr>
            <w:fldChar w:fldCharType="end"/>
          </w:r>
          <w:r w:rsidRPr="00BA066B">
            <w:rPr>
              <w:rStyle w:val="Sidnummer"/>
            </w:rPr>
            <w:t>)</w:t>
          </w:r>
        </w:p>
      </w:tc>
    </w:tr>
  </w:tbl>
  <w:p w:rsidR="001B7FB7" w:rsidRDefault="001B7FB7"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B7" w:rsidRDefault="001B7FB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peter.zettergren@boras.se"/>
    <w:docVar w:name="anvandare_txt_Namn" w:val="Peter Zettergren"/>
    <w:docVar w:name="anvandare_txt_Profil" w:val="HAND"/>
    <w:docVar w:name="anvandare_txt_Sign" w:val="PC441"/>
    <w:docVar w:name="anvandare_txt_Telnr" w:val="033 357294"/>
    <w:docVar w:name="Databas" w:val="KS"/>
    <w:docVar w:name="Diarienr" w:val="2020-00516"/>
    <w:docVar w:name="DokumentArkiv_FileInApprovalProcess" w:val="0"/>
    <w:docVar w:name="DokumentArkiv_NameService" w:val="shciceronapp"/>
    <w:docVar w:name="DokumentArkiv_SecurityDomain" w:val="Ciceron"/>
    <w:docVar w:name="Grpnr" w:val="1.1.1.1"/>
    <w:docVar w:name="Handlsign" w:val="Peter Zettergre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DE7B88"/>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B7FB7"/>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27D67"/>
    <w:rsid w:val="00237D57"/>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0C52"/>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3A8E"/>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419F"/>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6665F"/>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E5057"/>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4F1B"/>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7F47"/>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C7651"/>
    <w:rsid w:val="007D4E46"/>
    <w:rsid w:val="007E17D9"/>
    <w:rsid w:val="007E1B50"/>
    <w:rsid w:val="007F0749"/>
    <w:rsid w:val="007F51EB"/>
    <w:rsid w:val="0080371E"/>
    <w:rsid w:val="00805910"/>
    <w:rsid w:val="00805B35"/>
    <w:rsid w:val="008163E2"/>
    <w:rsid w:val="00816620"/>
    <w:rsid w:val="0081783C"/>
    <w:rsid w:val="00820018"/>
    <w:rsid w:val="00820162"/>
    <w:rsid w:val="008216BF"/>
    <w:rsid w:val="00822FB1"/>
    <w:rsid w:val="00823B54"/>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D6A94"/>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6852"/>
    <w:rsid w:val="00AB12D9"/>
    <w:rsid w:val="00AB4373"/>
    <w:rsid w:val="00AB43E4"/>
    <w:rsid w:val="00AB6993"/>
    <w:rsid w:val="00AC0856"/>
    <w:rsid w:val="00AC3611"/>
    <w:rsid w:val="00AC541B"/>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A2335"/>
    <w:rsid w:val="00BB362E"/>
    <w:rsid w:val="00BB4574"/>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120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7B88"/>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07A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74F908"/>
  <w15:docId w15:val="{0B10D597-14B9-4C6A-9620-B429D3F7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AFEE33D-4A34-408F-B937-32CA9444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675</Words>
  <Characters>7278</Characters>
  <Application>Microsoft Office Word</Application>
  <DocSecurity>0</DocSecurity>
  <Lines>60</Lines>
  <Paragraphs>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Zettergren</dc:creator>
  <cp:keywords/>
  <cp:lastModifiedBy>Niklas Arvidsson</cp:lastModifiedBy>
  <cp:revision>10</cp:revision>
  <cp:lastPrinted>2003-09-08T17:29:00Z</cp:lastPrinted>
  <dcterms:created xsi:type="dcterms:W3CDTF">2022-03-29T07:46:00Z</dcterms:created>
  <dcterms:modified xsi:type="dcterms:W3CDTF">2022-04-20T08:29:00Z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