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2464C9" w:rsidRDefault="002464C9"/>
    <w:p w:rsidR="002464C9" w:rsidRDefault="002464C9" w:rsidP="002464C9">
      <w:pPr>
        <w:pStyle w:val="Rubrik1"/>
        <w:rPr>
          <w:lang w:eastAsia="sv-SE"/>
        </w:rPr>
      </w:pPr>
      <w:r>
        <w:rPr>
          <w:lang w:eastAsia="sv-SE"/>
        </w:rPr>
        <w:t>Yrkande – taxor och avgifter</w:t>
      </w:r>
    </w:p>
    <w:p w:rsidR="002464C9" w:rsidRPr="00AB0068" w:rsidRDefault="002464C9" w:rsidP="002464C9">
      <w:pPr>
        <w:spacing w:before="0"/>
        <w:rPr>
          <w:i/>
          <w:lang w:eastAsia="sv-SE"/>
        </w:rPr>
      </w:pPr>
      <w:r>
        <w:rPr>
          <w:i/>
          <w:lang w:eastAsia="sv-SE"/>
        </w:rPr>
        <w:t>Att</w:t>
      </w:r>
      <w:r>
        <w:rPr>
          <w:i/>
          <w:lang w:eastAsia="sv-SE"/>
        </w:rPr>
        <w:tab/>
      </w:r>
      <w:r w:rsidRPr="00C15AEC">
        <w:rPr>
          <w:i/>
          <w:lang w:eastAsia="sv-SE"/>
        </w:rPr>
        <w:t xml:space="preserve">fastställa nedanstående taxor och avgifter samt prisförändringar, </w:t>
      </w:r>
      <w:r w:rsidRPr="00DB63FF">
        <w:rPr>
          <w:i/>
          <w:color w:val="FF0000"/>
          <w:lang w:eastAsia="sv-SE"/>
        </w:rPr>
        <w:t xml:space="preserve">enligt </w:t>
      </w:r>
      <w:r w:rsidRPr="00DB63FF">
        <w:rPr>
          <w:i/>
          <w:color w:val="FF0000"/>
          <w:lang w:eastAsia="sv-SE"/>
        </w:rPr>
        <w:tab/>
        <w:t>alternativt förslag</w:t>
      </w:r>
      <w:r w:rsidRPr="00AB0068">
        <w:rPr>
          <w:i/>
          <w:lang w:eastAsia="sv-SE"/>
        </w:rPr>
        <w:t>, i enlighet med särskild bilaga:</w:t>
      </w:r>
    </w:p>
    <w:p w:rsidR="002464C9" w:rsidRPr="00AB0068" w:rsidRDefault="002464C9" w:rsidP="002464C9">
      <w:pPr>
        <w:pStyle w:val="Liststycke"/>
        <w:spacing w:before="0"/>
        <w:rPr>
          <w:i/>
          <w:lang w:eastAsia="sv-SE"/>
        </w:rPr>
      </w:pPr>
      <w:r w:rsidRPr="00AB0068">
        <w:rPr>
          <w:i/>
          <w:lang w:eastAsia="sv-SE"/>
        </w:rPr>
        <w:tab/>
        <w:t xml:space="preserve">- </w:t>
      </w:r>
      <w:r w:rsidRPr="00AB0068">
        <w:rPr>
          <w:i/>
          <w:lang w:eastAsia="sv-SE"/>
        </w:rPr>
        <w:tab/>
        <w:t xml:space="preserve">Taxa för prövning och tillsyn enligt alkohollagen, tobakslagen, </w:t>
      </w:r>
      <w:r w:rsidRPr="00AB0068">
        <w:rPr>
          <w:i/>
          <w:lang w:eastAsia="sv-SE"/>
        </w:rPr>
        <w:tab/>
      </w:r>
      <w:r w:rsidRPr="00AB0068">
        <w:rPr>
          <w:i/>
          <w:lang w:eastAsia="sv-SE"/>
        </w:rPr>
        <w:tab/>
        <w:t xml:space="preserve">lagen om elektroniska cigaretter och påfyllningsbehållare samt </w:t>
      </w:r>
      <w:r w:rsidRPr="00AB0068">
        <w:rPr>
          <w:i/>
          <w:lang w:eastAsia="sv-SE"/>
        </w:rPr>
        <w:tab/>
      </w:r>
      <w:r w:rsidRPr="00AB0068">
        <w:rPr>
          <w:i/>
          <w:lang w:eastAsia="sv-SE"/>
        </w:rPr>
        <w:tab/>
        <w:t>lagen om handel med vissa receptfria läkemedel.</w:t>
      </w:r>
    </w:p>
    <w:p w:rsidR="002464C9" w:rsidRDefault="002464C9" w:rsidP="002464C9">
      <w:pPr>
        <w:pStyle w:val="Liststycke"/>
        <w:spacing w:before="0"/>
        <w:rPr>
          <w:i/>
          <w:lang w:eastAsia="sv-SE"/>
        </w:rPr>
      </w:pPr>
      <w:r w:rsidRPr="00AB0068">
        <w:rPr>
          <w:i/>
          <w:lang w:eastAsia="sv-SE"/>
        </w:rPr>
        <w:tab/>
        <w:t>-</w:t>
      </w:r>
      <w:r w:rsidRPr="00AB0068">
        <w:rPr>
          <w:i/>
          <w:lang w:eastAsia="sv-SE"/>
        </w:rPr>
        <w:tab/>
        <w:t xml:space="preserve">Taxa för vård och omsorg om äldre och personer med </w:t>
      </w:r>
      <w:r>
        <w:rPr>
          <w:i/>
          <w:lang w:eastAsia="sv-SE"/>
        </w:rPr>
        <w:tab/>
      </w:r>
      <w:r>
        <w:rPr>
          <w:i/>
          <w:lang w:eastAsia="sv-SE"/>
        </w:rPr>
        <w:tab/>
      </w:r>
      <w:r w:rsidRPr="00AB0068">
        <w:rPr>
          <w:i/>
          <w:lang w:eastAsia="sv-SE"/>
        </w:rPr>
        <w:t>funktionsnedsättning</w:t>
      </w:r>
      <w:r>
        <w:rPr>
          <w:i/>
          <w:lang w:eastAsia="sv-SE"/>
        </w:rPr>
        <w:t>.</w:t>
      </w:r>
    </w:p>
    <w:p w:rsidR="002464C9" w:rsidRDefault="002464C9" w:rsidP="002464C9">
      <w:pPr>
        <w:pStyle w:val="Liststycke"/>
        <w:spacing w:before="0"/>
        <w:rPr>
          <w:i/>
          <w:lang w:eastAsia="sv-SE"/>
        </w:rPr>
      </w:pPr>
      <w:r>
        <w:rPr>
          <w:i/>
          <w:lang w:eastAsia="sv-SE"/>
        </w:rPr>
        <w:tab/>
        <w:t xml:space="preserve">- </w:t>
      </w:r>
      <w:r>
        <w:rPr>
          <w:i/>
          <w:lang w:eastAsia="sv-SE"/>
        </w:rPr>
        <w:tab/>
        <w:t>Taxa för offentlig kontroll inom livsmedelsområdet</w:t>
      </w:r>
    </w:p>
    <w:p w:rsidR="002464C9" w:rsidRDefault="002464C9" w:rsidP="002464C9">
      <w:pPr>
        <w:pStyle w:val="Liststycke"/>
        <w:spacing w:before="0"/>
        <w:rPr>
          <w:i/>
          <w:lang w:eastAsia="sv-SE"/>
        </w:rPr>
      </w:pPr>
      <w:r>
        <w:rPr>
          <w:i/>
          <w:lang w:eastAsia="sv-SE"/>
        </w:rPr>
        <w:tab/>
        <w:t xml:space="preserve">- </w:t>
      </w:r>
      <w:r>
        <w:rPr>
          <w:i/>
          <w:lang w:eastAsia="sv-SE"/>
        </w:rPr>
        <w:tab/>
        <w:t>PBL</w:t>
      </w:r>
    </w:p>
    <w:p w:rsidR="002464C9" w:rsidRDefault="002464C9" w:rsidP="002464C9">
      <w:pPr>
        <w:pStyle w:val="Liststycke"/>
        <w:spacing w:before="0"/>
        <w:rPr>
          <w:i/>
          <w:lang w:eastAsia="sv-SE"/>
        </w:rPr>
      </w:pPr>
    </w:p>
    <w:p w:rsidR="002464C9" w:rsidRPr="004E6239" w:rsidRDefault="002464C9" w:rsidP="002464C9">
      <w:pPr>
        <w:pStyle w:val="Rubrik2"/>
        <w:rPr>
          <w:sz w:val="24"/>
          <w:szCs w:val="24"/>
          <w:lang w:eastAsia="sv-SE"/>
        </w:rPr>
      </w:pPr>
      <w:r w:rsidRPr="004E6239">
        <w:rPr>
          <w:sz w:val="24"/>
          <w:szCs w:val="24"/>
          <w:lang w:eastAsia="sv-SE"/>
        </w:rPr>
        <w:t xml:space="preserve">Taxa för prövning och tillsyn enligt alkohollagen, tobakslagen, lagen om elektroniska cigaretter och </w:t>
      </w:r>
      <w:r w:rsidRPr="004E6239">
        <w:rPr>
          <w:sz w:val="24"/>
          <w:szCs w:val="24"/>
        </w:rPr>
        <w:t>påfyllningsbehållare</w:t>
      </w:r>
      <w:r w:rsidRPr="004E6239">
        <w:rPr>
          <w:sz w:val="24"/>
          <w:szCs w:val="24"/>
          <w:lang w:eastAsia="sv-SE"/>
        </w:rPr>
        <w:t xml:space="preserve"> samt lagen om handel med vissa receptfria läkemedel.</w:t>
      </w:r>
    </w:p>
    <w:p w:rsidR="002464C9" w:rsidRPr="004E6239" w:rsidRDefault="002464C9" w:rsidP="002464C9">
      <w:pPr>
        <w:spacing w:before="0" w:after="160" w:line="259" w:lineRule="auto"/>
        <w:rPr>
          <w:rFonts w:cstheme="minorHAnsi"/>
          <w:b/>
          <w:szCs w:val="24"/>
        </w:rPr>
      </w:pPr>
      <w:r w:rsidRPr="004E6239">
        <w:rPr>
          <w:rFonts w:cstheme="minorHAnsi"/>
          <w:b/>
          <w:szCs w:val="24"/>
        </w:rPr>
        <w:t>Tillsynsavgifter enligt alkohollagen</w:t>
      </w:r>
    </w:p>
    <w:tbl>
      <w:tblPr>
        <w:tblStyle w:val="Tabellrutnt3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2464C9" w:rsidRPr="004E6239" w:rsidTr="006026BE">
        <w:tc>
          <w:tcPr>
            <w:tcW w:w="6374" w:type="dxa"/>
          </w:tcPr>
          <w:p w:rsidR="002464C9" w:rsidRPr="004E6239" w:rsidRDefault="002464C9" w:rsidP="006026BE">
            <w:pPr>
              <w:spacing w:before="0" w:after="0"/>
              <w:rPr>
                <w:b/>
                <w:sz w:val="22"/>
              </w:rPr>
            </w:pPr>
            <w:r w:rsidRPr="004E6239">
              <w:rPr>
                <w:b/>
                <w:sz w:val="22"/>
              </w:rPr>
              <w:t>Fast tillsynsavgift</w:t>
            </w:r>
          </w:p>
        </w:tc>
        <w:tc>
          <w:tcPr>
            <w:tcW w:w="2688" w:type="dxa"/>
          </w:tcPr>
          <w:p w:rsidR="002464C9" w:rsidRPr="004E6239" w:rsidRDefault="002464C9" w:rsidP="006026BE">
            <w:pPr>
              <w:spacing w:before="0" w:after="0"/>
              <w:rPr>
                <w:b/>
                <w:sz w:val="22"/>
              </w:rPr>
            </w:pPr>
            <w:r w:rsidRPr="004E6239">
              <w:rPr>
                <w:b/>
                <w:sz w:val="22"/>
              </w:rPr>
              <w:t xml:space="preserve">Avgift per år, kr </w:t>
            </w:r>
          </w:p>
        </w:tc>
      </w:tr>
      <w:tr w:rsidR="002464C9" w:rsidRPr="004E6239" w:rsidTr="006026BE">
        <w:tc>
          <w:tcPr>
            <w:tcW w:w="6374" w:type="dxa"/>
          </w:tcPr>
          <w:p w:rsidR="002464C9" w:rsidRPr="004E6239" w:rsidRDefault="002464C9" w:rsidP="006026BE">
            <w:pPr>
              <w:spacing w:before="0"/>
              <w:rPr>
                <w:sz w:val="22"/>
              </w:rPr>
            </w:pPr>
            <w:r w:rsidRPr="004E6239">
              <w:rPr>
                <w:sz w:val="22"/>
              </w:rPr>
              <w:t xml:space="preserve">Tillsynsavgift år 1 för nytt stadigvarande tillstånd för servering/provsmakning, per tillstånd. </w:t>
            </w:r>
          </w:p>
          <w:p w:rsidR="002464C9" w:rsidRPr="004E6239" w:rsidRDefault="002464C9" w:rsidP="006026BE">
            <w:pPr>
              <w:spacing w:before="0"/>
              <w:rPr>
                <w:b/>
                <w:sz w:val="22"/>
              </w:rPr>
            </w:pPr>
            <w:r w:rsidRPr="004E6239">
              <w:rPr>
                <w:sz w:val="22"/>
              </w:rPr>
              <w:t xml:space="preserve">Vid omsättning under 500 000 kr år 1 kommer tillsynsavgiften regleras till motsvarande </w:t>
            </w:r>
            <w:proofErr w:type="gramStart"/>
            <w:r w:rsidRPr="004E6239">
              <w:rPr>
                <w:color w:val="FF0000"/>
                <w:sz w:val="22"/>
              </w:rPr>
              <w:t>1%</w:t>
            </w:r>
            <w:proofErr w:type="gramEnd"/>
            <w:r w:rsidRPr="004E6239">
              <w:rPr>
                <w:color w:val="FF0000"/>
                <w:sz w:val="22"/>
              </w:rPr>
              <w:t xml:space="preserve"> av </w:t>
            </w:r>
            <w:r w:rsidRPr="004E6239">
              <w:rPr>
                <w:sz w:val="22"/>
              </w:rPr>
              <w:t>alkoholomsättningen (år 1) vid faktureringstillfället år 2.</w:t>
            </w:r>
          </w:p>
        </w:tc>
        <w:tc>
          <w:tcPr>
            <w:tcW w:w="2688" w:type="dxa"/>
          </w:tcPr>
          <w:p w:rsidR="002464C9" w:rsidRPr="004E6239" w:rsidRDefault="002464C9" w:rsidP="006026BE">
            <w:pPr>
              <w:spacing w:before="0" w:after="0"/>
              <w:rPr>
                <w:b/>
                <w:sz w:val="22"/>
              </w:rPr>
            </w:pPr>
            <w:r w:rsidRPr="004E6239">
              <w:rPr>
                <w:b/>
                <w:sz w:val="22"/>
              </w:rPr>
              <w:t>15 000</w:t>
            </w:r>
          </w:p>
        </w:tc>
      </w:tr>
      <w:tr w:rsidR="002464C9" w:rsidRPr="004E6239" w:rsidTr="006026BE">
        <w:tc>
          <w:tcPr>
            <w:tcW w:w="6374" w:type="dxa"/>
          </w:tcPr>
          <w:p w:rsidR="002464C9" w:rsidRPr="004E6239" w:rsidRDefault="002464C9" w:rsidP="006026BE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0" w:line="241" w:lineRule="atLeast"/>
              <w:rPr>
                <w:rFonts w:cs="Caecilia LT Std Roman"/>
                <w:bCs/>
                <w:color w:val="000000"/>
                <w:sz w:val="22"/>
              </w:rPr>
            </w:pPr>
            <w:r w:rsidRPr="004E6239">
              <w:rPr>
                <w:rFonts w:cs="Caecilia LT Std Roman"/>
                <w:bCs/>
                <w:sz w:val="22"/>
              </w:rPr>
              <w:t xml:space="preserve">Årlig </w:t>
            </w:r>
            <w:r w:rsidRPr="004E6239">
              <w:rPr>
                <w:rFonts w:cs="Caecilia LT Std Roman"/>
                <w:bCs/>
                <w:color w:val="000000"/>
                <w:sz w:val="22"/>
              </w:rPr>
              <w:t>tillsynsavgift för stadigvarande tillstånd till slutet sällskap samt till allmänheten.</w:t>
            </w:r>
          </w:p>
        </w:tc>
        <w:tc>
          <w:tcPr>
            <w:tcW w:w="2688" w:type="dxa"/>
          </w:tcPr>
          <w:p w:rsidR="002464C9" w:rsidRPr="004E6239" w:rsidRDefault="002464C9" w:rsidP="006026BE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0" w:after="0"/>
              <w:rPr>
                <w:rFonts w:cs="Arial"/>
                <w:sz w:val="22"/>
              </w:rPr>
            </w:pPr>
            <w:r w:rsidRPr="004E6239">
              <w:rPr>
                <w:rFonts w:cs="Arial"/>
                <w:sz w:val="22"/>
              </w:rPr>
              <w:t>3 000</w:t>
            </w:r>
          </w:p>
        </w:tc>
      </w:tr>
    </w:tbl>
    <w:p w:rsidR="002464C9" w:rsidRPr="004E6239" w:rsidRDefault="002464C9" w:rsidP="002464C9">
      <w:pPr>
        <w:spacing w:before="0" w:after="0" w:line="259" w:lineRule="auto"/>
        <w:rPr>
          <w:b/>
          <w:sz w:val="22"/>
        </w:rPr>
      </w:pPr>
    </w:p>
    <w:tbl>
      <w:tblPr>
        <w:tblStyle w:val="Tabellrutnt3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2464C9" w:rsidRPr="004E6239" w:rsidTr="006026BE">
        <w:tc>
          <w:tcPr>
            <w:tcW w:w="9062" w:type="dxa"/>
            <w:gridSpan w:val="2"/>
          </w:tcPr>
          <w:p w:rsidR="002464C9" w:rsidRPr="004E6239" w:rsidRDefault="002464C9" w:rsidP="006026BE">
            <w:pPr>
              <w:spacing w:before="0" w:after="0"/>
              <w:rPr>
                <w:b/>
                <w:sz w:val="22"/>
              </w:rPr>
            </w:pPr>
            <w:r w:rsidRPr="004E6239">
              <w:rPr>
                <w:b/>
                <w:sz w:val="22"/>
              </w:rPr>
              <w:t>Rörlig tillsynsavgift vid stadigvarande servering till allmänheten per år</w:t>
            </w:r>
          </w:p>
        </w:tc>
      </w:tr>
      <w:tr w:rsidR="002464C9" w:rsidRPr="004E6239" w:rsidTr="006026BE">
        <w:tc>
          <w:tcPr>
            <w:tcW w:w="6374" w:type="dxa"/>
          </w:tcPr>
          <w:p w:rsidR="002464C9" w:rsidRPr="004E6239" w:rsidRDefault="002464C9" w:rsidP="006026BE">
            <w:pPr>
              <w:spacing w:before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>Årlig tillsynsavgift</w:t>
            </w:r>
          </w:p>
        </w:tc>
        <w:tc>
          <w:tcPr>
            <w:tcW w:w="2688" w:type="dxa"/>
          </w:tcPr>
          <w:p w:rsidR="002464C9" w:rsidRPr="004E623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3 000 kr</w:t>
            </w:r>
          </w:p>
        </w:tc>
      </w:tr>
      <w:tr w:rsidR="002464C9" w:rsidRPr="004E6239" w:rsidTr="006026BE">
        <w:tc>
          <w:tcPr>
            <w:tcW w:w="6374" w:type="dxa"/>
          </w:tcPr>
          <w:p w:rsidR="002464C9" w:rsidRPr="004E6239" w:rsidRDefault="002464C9" w:rsidP="006026BE">
            <w:pPr>
              <w:spacing w:before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Rörliga avgift baseras på föregående års omsättning av försäljning av </w:t>
            </w:r>
            <w:proofErr w:type="spellStart"/>
            <w:r w:rsidRPr="004E6239">
              <w:rPr>
                <w:color w:val="FF0000"/>
                <w:sz w:val="22"/>
              </w:rPr>
              <w:t>alkholdrycker</w:t>
            </w:r>
            <w:proofErr w:type="spellEnd"/>
            <w:r w:rsidRPr="004E6239">
              <w:rPr>
                <w:color w:val="FF0000"/>
                <w:sz w:val="22"/>
              </w:rPr>
              <w:t xml:space="preserve"> och alkoholdrycksliknande preparat inkl. moms</w:t>
            </w:r>
          </w:p>
          <w:p w:rsidR="002464C9" w:rsidRPr="004E6239" w:rsidRDefault="002464C9" w:rsidP="006026BE">
            <w:pPr>
              <w:spacing w:before="0" w:after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                                                                       Upp till 500 000 kr/år  </w:t>
            </w:r>
          </w:p>
          <w:p w:rsidR="002464C9" w:rsidRPr="004E6239" w:rsidRDefault="002464C9" w:rsidP="006026BE">
            <w:pPr>
              <w:spacing w:before="0" w:after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Därefter för omsättning mellan:                    </w:t>
            </w:r>
          </w:p>
          <w:p w:rsidR="002464C9" w:rsidRPr="004E6239" w:rsidRDefault="002464C9" w:rsidP="006026BE">
            <w:pPr>
              <w:spacing w:before="0" w:after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                                                                      </w:t>
            </w:r>
            <w:r>
              <w:rPr>
                <w:color w:val="FF0000"/>
                <w:sz w:val="22"/>
              </w:rPr>
              <w:t xml:space="preserve"> </w:t>
            </w:r>
            <w:r w:rsidRPr="004E6239">
              <w:rPr>
                <w:color w:val="FF0000"/>
                <w:sz w:val="22"/>
              </w:rPr>
              <w:t xml:space="preserve"> 500 001 – 1 000 000 kr/år</w:t>
            </w:r>
          </w:p>
          <w:p w:rsidR="002464C9" w:rsidRPr="004E6239" w:rsidRDefault="002464C9" w:rsidP="006026BE">
            <w:pPr>
              <w:spacing w:before="0" w:after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                                                                     1 000 001 – 1 500 000 kr/år</w:t>
            </w:r>
          </w:p>
          <w:p w:rsidR="002464C9" w:rsidRPr="004E6239" w:rsidRDefault="002464C9" w:rsidP="006026BE">
            <w:pPr>
              <w:spacing w:before="0" w:after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                                                                   1 500 001 – 2 000 000 kr/år</w:t>
            </w:r>
          </w:p>
          <w:p w:rsidR="002464C9" w:rsidRPr="004E6239" w:rsidRDefault="002464C9" w:rsidP="006026BE">
            <w:pPr>
              <w:spacing w:before="0" w:after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                                                                   2 000 0001 – 3 000 000 kr/år</w:t>
            </w:r>
          </w:p>
          <w:p w:rsidR="002464C9" w:rsidRPr="004E6239" w:rsidRDefault="002464C9" w:rsidP="006026BE">
            <w:pPr>
              <w:spacing w:before="0" w:after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                                                                   3 000 001 – 4 000 000 kr/år</w:t>
            </w:r>
          </w:p>
          <w:p w:rsidR="002464C9" w:rsidRPr="004E6239" w:rsidRDefault="002464C9" w:rsidP="006026BE">
            <w:pPr>
              <w:spacing w:before="0" w:after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                                                                  4 000 001 – 5 000 000 kr/år</w:t>
            </w:r>
          </w:p>
          <w:p w:rsidR="002464C9" w:rsidRPr="004E6239" w:rsidRDefault="002464C9" w:rsidP="006026BE">
            <w:pPr>
              <w:spacing w:before="0" w:after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                                                                  5 000 001 – 6 000 000 kr/år</w:t>
            </w:r>
          </w:p>
          <w:p w:rsidR="002464C9" w:rsidRPr="004E6239" w:rsidRDefault="002464C9" w:rsidP="006026BE">
            <w:pPr>
              <w:spacing w:before="0" w:after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                                                                  6 000 001 – 8 000 000 kr/år</w:t>
            </w:r>
          </w:p>
          <w:p w:rsidR="002464C9" w:rsidRPr="004E6239" w:rsidRDefault="002464C9" w:rsidP="006026BE">
            <w:pPr>
              <w:spacing w:before="0" w:after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                                                                  8 000 001 – 12 000 000 kr/år</w:t>
            </w:r>
          </w:p>
          <w:p w:rsidR="002464C9" w:rsidRPr="004E6239" w:rsidRDefault="002464C9" w:rsidP="006026BE">
            <w:pPr>
              <w:spacing w:before="0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                                                                 12 000 001 – </w:t>
            </w:r>
          </w:p>
        </w:tc>
        <w:tc>
          <w:tcPr>
            <w:tcW w:w="2688" w:type="dxa"/>
          </w:tcPr>
          <w:p w:rsidR="002464C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</w:p>
          <w:p w:rsidR="002464C9" w:rsidRDefault="002464C9" w:rsidP="006026BE">
            <w:pPr>
              <w:spacing w:before="0"/>
              <w:rPr>
                <w:b/>
                <w:color w:val="FF0000"/>
                <w:sz w:val="22"/>
              </w:rPr>
            </w:pPr>
          </w:p>
          <w:p w:rsidR="002464C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1 % av årsomsättning</w:t>
            </w:r>
          </w:p>
          <w:p w:rsidR="002464C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</w:p>
          <w:p w:rsidR="002464C9" w:rsidRPr="004E623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6 000 kr/år</w:t>
            </w:r>
          </w:p>
          <w:p w:rsidR="002464C9" w:rsidRPr="004E623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7 500 kr/år</w:t>
            </w:r>
          </w:p>
          <w:p w:rsidR="002464C9" w:rsidRPr="004E623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9 000 kr/år</w:t>
            </w:r>
          </w:p>
          <w:p w:rsidR="002464C9" w:rsidRPr="004E623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12 000 kr/år</w:t>
            </w:r>
          </w:p>
          <w:p w:rsidR="002464C9" w:rsidRPr="004E623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15 000 kr/år</w:t>
            </w:r>
          </w:p>
          <w:p w:rsidR="002464C9" w:rsidRPr="004E623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18 000 kr/år</w:t>
            </w:r>
          </w:p>
          <w:p w:rsidR="002464C9" w:rsidRPr="004E623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21 000 kr/år</w:t>
            </w:r>
          </w:p>
          <w:p w:rsidR="002464C9" w:rsidRPr="004E623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24 000 kr/år</w:t>
            </w:r>
          </w:p>
          <w:p w:rsidR="002464C9" w:rsidRPr="004E623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27 000 kr/år</w:t>
            </w:r>
          </w:p>
          <w:p w:rsidR="002464C9" w:rsidRPr="004E6239" w:rsidRDefault="002464C9" w:rsidP="006026BE">
            <w:pPr>
              <w:spacing w:before="0" w:after="0"/>
              <w:rPr>
                <w:b/>
                <w:color w:val="FF0000"/>
                <w:sz w:val="22"/>
              </w:rPr>
            </w:pPr>
            <w:r w:rsidRPr="004E6239">
              <w:rPr>
                <w:b/>
                <w:color w:val="FF0000"/>
                <w:sz w:val="22"/>
              </w:rPr>
              <w:t>30 000 kr/år</w:t>
            </w:r>
          </w:p>
        </w:tc>
      </w:tr>
      <w:tr w:rsidR="002464C9" w:rsidRPr="004E6239" w:rsidTr="006026BE">
        <w:tc>
          <w:tcPr>
            <w:tcW w:w="6374" w:type="dxa"/>
          </w:tcPr>
          <w:p w:rsidR="002464C9" w:rsidRPr="004E6239" w:rsidRDefault="002464C9" w:rsidP="006026BE">
            <w:pPr>
              <w:spacing w:before="0" w:after="0"/>
              <w:rPr>
                <w:sz w:val="22"/>
              </w:rPr>
            </w:pPr>
            <w:r w:rsidRPr="004E6239">
              <w:rPr>
                <w:sz w:val="22"/>
              </w:rPr>
              <w:t>Tillsynsavgift vid utebliven restaurangrapport eller då delar i denna saknas eller inte inkommit senast 30 juni.</w:t>
            </w:r>
          </w:p>
        </w:tc>
        <w:tc>
          <w:tcPr>
            <w:tcW w:w="2688" w:type="dxa"/>
          </w:tcPr>
          <w:p w:rsidR="002464C9" w:rsidRPr="004E6239" w:rsidRDefault="002464C9" w:rsidP="006026BE">
            <w:pPr>
              <w:spacing w:before="0" w:after="0"/>
              <w:rPr>
                <w:b/>
                <w:sz w:val="22"/>
              </w:rPr>
            </w:pPr>
            <w:r w:rsidRPr="004E6239">
              <w:rPr>
                <w:b/>
                <w:sz w:val="22"/>
              </w:rPr>
              <w:t>Föregående års rörliga tillsynsavgift, jämte fast tillsynsavgift samt extra förseningsavgift 5 000 kr.</w:t>
            </w:r>
          </w:p>
        </w:tc>
      </w:tr>
      <w:tr w:rsidR="002464C9" w:rsidRPr="004E6239" w:rsidTr="006026BE">
        <w:tc>
          <w:tcPr>
            <w:tcW w:w="6374" w:type="dxa"/>
          </w:tcPr>
          <w:p w:rsidR="002464C9" w:rsidRPr="004E6239" w:rsidRDefault="002464C9" w:rsidP="006026BE">
            <w:pPr>
              <w:spacing w:before="0" w:after="0"/>
              <w:rPr>
                <w:sz w:val="22"/>
              </w:rPr>
            </w:pPr>
            <w:r w:rsidRPr="004E6239">
              <w:rPr>
                <w:sz w:val="22"/>
              </w:rPr>
              <w:t>Särskild tilläggsavgift för extra uppföljande tillsynsbesök</w:t>
            </w:r>
          </w:p>
        </w:tc>
        <w:tc>
          <w:tcPr>
            <w:tcW w:w="2688" w:type="dxa"/>
          </w:tcPr>
          <w:p w:rsidR="002464C9" w:rsidRPr="004E6239" w:rsidRDefault="002464C9" w:rsidP="006026BE">
            <w:pPr>
              <w:spacing w:before="0" w:after="0"/>
              <w:rPr>
                <w:b/>
                <w:sz w:val="22"/>
              </w:rPr>
            </w:pPr>
            <w:r w:rsidRPr="004E6239">
              <w:rPr>
                <w:b/>
                <w:sz w:val="22"/>
              </w:rPr>
              <w:t>Timavgift</w:t>
            </w:r>
          </w:p>
        </w:tc>
      </w:tr>
    </w:tbl>
    <w:p w:rsidR="002464C9" w:rsidRPr="004E6239" w:rsidRDefault="002464C9" w:rsidP="002464C9">
      <w:pPr>
        <w:suppressAutoHyphens/>
        <w:spacing w:before="0" w:line="259" w:lineRule="auto"/>
        <w:rPr>
          <w:sz w:val="22"/>
          <w:u w:val="single"/>
        </w:rPr>
      </w:pPr>
      <w:bookmarkStart w:id="0" w:name="OLE_LINK7"/>
      <w:r w:rsidRPr="004E6239">
        <w:rPr>
          <w:sz w:val="22"/>
          <w:u w:val="single"/>
        </w:rPr>
        <w:t>Om tillsynsavgiften</w:t>
      </w:r>
    </w:p>
    <w:p w:rsidR="002464C9" w:rsidRPr="004E6239" w:rsidRDefault="002464C9" w:rsidP="002464C9">
      <w:pPr>
        <w:suppressAutoHyphens/>
        <w:spacing w:before="0" w:after="160" w:line="259" w:lineRule="auto"/>
        <w:rPr>
          <w:sz w:val="22"/>
        </w:rPr>
      </w:pPr>
      <w:r w:rsidRPr="004E6239">
        <w:rPr>
          <w:sz w:val="22"/>
        </w:rPr>
        <w:t>Tillsynsavgiften täcker handläggarnas arbetsuppgifter kring tillsynen:</w:t>
      </w:r>
    </w:p>
    <w:p w:rsidR="002464C9" w:rsidRPr="004E6239" w:rsidRDefault="002464C9" w:rsidP="002464C9">
      <w:pPr>
        <w:numPr>
          <w:ilvl w:val="0"/>
          <w:numId w:val="1"/>
        </w:numPr>
        <w:suppressAutoHyphens/>
        <w:spacing w:before="0" w:after="0" w:line="259" w:lineRule="auto"/>
        <w:jc w:val="both"/>
        <w:rPr>
          <w:sz w:val="22"/>
        </w:rPr>
      </w:pPr>
      <w:r w:rsidRPr="004E6239">
        <w:rPr>
          <w:sz w:val="22"/>
        </w:rPr>
        <w:t>den tillsyn som inspektörer och handläggare gör ute hos verksamheten</w:t>
      </w:r>
    </w:p>
    <w:p w:rsidR="002464C9" w:rsidRPr="004E6239" w:rsidRDefault="002464C9" w:rsidP="002464C9">
      <w:pPr>
        <w:numPr>
          <w:ilvl w:val="0"/>
          <w:numId w:val="1"/>
        </w:numPr>
        <w:suppressAutoHyphens/>
        <w:spacing w:before="0" w:after="0" w:line="259" w:lineRule="auto"/>
        <w:jc w:val="both"/>
        <w:rPr>
          <w:sz w:val="22"/>
        </w:rPr>
      </w:pPr>
      <w:r w:rsidRPr="004E6239">
        <w:rPr>
          <w:sz w:val="22"/>
        </w:rPr>
        <w:t>inre tillsyn</w:t>
      </w:r>
    </w:p>
    <w:p w:rsidR="002464C9" w:rsidRPr="004E6239" w:rsidRDefault="002464C9" w:rsidP="002464C9">
      <w:pPr>
        <w:numPr>
          <w:ilvl w:val="0"/>
          <w:numId w:val="1"/>
        </w:numPr>
        <w:suppressAutoHyphens/>
        <w:spacing w:before="0" w:after="0" w:line="259" w:lineRule="auto"/>
        <w:jc w:val="both"/>
        <w:rPr>
          <w:sz w:val="22"/>
        </w:rPr>
      </w:pPr>
      <w:r w:rsidRPr="004E6239">
        <w:rPr>
          <w:sz w:val="22"/>
        </w:rPr>
        <w:t>service och information till företag</w:t>
      </w:r>
    </w:p>
    <w:p w:rsidR="002464C9" w:rsidRPr="004E6239" w:rsidRDefault="002464C9" w:rsidP="002464C9">
      <w:pPr>
        <w:numPr>
          <w:ilvl w:val="0"/>
          <w:numId w:val="1"/>
        </w:numPr>
        <w:suppressAutoHyphens/>
        <w:spacing w:before="0" w:after="0" w:line="259" w:lineRule="auto"/>
        <w:jc w:val="both"/>
        <w:rPr>
          <w:sz w:val="22"/>
        </w:rPr>
      </w:pPr>
      <w:r w:rsidRPr="004E6239">
        <w:rPr>
          <w:sz w:val="22"/>
        </w:rPr>
        <w:t>rådgivning</w:t>
      </w:r>
    </w:p>
    <w:p w:rsidR="002464C9" w:rsidRPr="004E6239" w:rsidRDefault="002464C9" w:rsidP="002464C9">
      <w:pPr>
        <w:numPr>
          <w:ilvl w:val="0"/>
          <w:numId w:val="1"/>
        </w:numPr>
        <w:suppressAutoHyphens/>
        <w:spacing w:before="0" w:after="0" w:line="259" w:lineRule="auto"/>
        <w:jc w:val="both"/>
        <w:rPr>
          <w:sz w:val="22"/>
        </w:rPr>
      </w:pPr>
      <w:r w:rsidRPr="004E6239">
        <w:rPr>
          <w:sz w:val="22"/>
        </w:rPr>
        <w:t>utbildningar (till exempel ansvarsfull alkoholservering)</w:t>
      </w:r>
    </w:p>
    <w:p w:rsidR="002464C9" w:rsidRPr="004E6239" w:rsidRDefault="002464C9" w:rsidP="002464C9">
      <w:pPr>
        <w:suppressAutoHyphens/>
        <w:spacing w:before="0" w:line="259" w:lineRule="auto"/>
        <w:rPr>
          <w:sz w:val="22"/>
        </w:rPr>
      </w:pPr>
      <w:r w:rsidRPr="004E6239">
        <w:rPr>
          <w:sz w:val="22"/>
        </w:rPr>
        <w:t xml:space="preserve">Tillsynsavgiften bekostar även handläggarnas löner, </w:t>
      </w:r>
      <w:r w:rsidRPr="004E6239">
        <w:rPr>
          <w:strike/>
          <w:color w:val="FF0000"/>
          <w:sz w:val="22"/>
        </w:rPr>
        <w:t>lokaler och övriga kostnader knutna till verksamheten, exempelvis datorer och kontorsmaterial.</w:t>
      </w:r>
      <w:r w:rsidRPr="004E6239">
        <w:rPr>
          <w:sz w:val="22"/>
        </w:rPr>
        <w:t xml:space="preserve"> Kostnaderna för politikernas arvode ingår inte i tillsynsavgiften. </w:t>
      </w:r>
    </w:p>
    <w:bookmarkEnd w:id="0"/>
    <w:p w:rsidR="002464C9" w:rsidRPr="004E6239" w:rsidRDefault="002464C9" w:rsidP="002464C9">
      <w:pPr>
        <w:keepNext/>
        <w:keepLines/>
        <w:suppressAutoHyphens/>
        <w:autoSpaceDE w:val="0"/>
        <w:autoSpaceDN w:val="0"/>
        <w:adjustRightInd w:val="0"/>
        <w:spacing w:before="0" w:after="0"/>
        <w:rPr>
          <w:rFonts w:ascii="Garamond" w:eastAsia="Times New Roman" w:hAnsi="Garamond" w:cs="Arial"/>
          <w:color w:val="000000"/>
          <w:sz w:val="22"/>
          <w:szCs w:val="24"/>
        </w:rPr>
      </w:pPr>
    </w:p>
    <w:p w:rsidR="002464C9" w:rsidRPr="004E6239" w:rsidRDefault="002464C9" w:rsidP="002464C9">
      <w:pPr>
        <w:keepNext/>
        <w:keepLines/>
        <w:spacing w:before="0" w:after="0"/>
        <w:outlineLvl w:val="0"/>
        <w:rPr>
          <w:rFonts w:ascii="Arial" w:eastAsiaTheme="majorEastAsia" w:hAnsi="Arial" w:cstheme="majorBidi"/>
          <w:b/>
          <w:bCs/>
          <w:szCs w:val="28"/>
        </w:rPr>
      </w:pPr>
      <w:r w:rsidRPr="004E6239">
        <w:rPr>
          <w:rFonts w:ascii="Arial" w:eastAsiaTheme="majorEastAsia" w:hAnsi="Arial" w:cstheme="majorBidi"/>
          <w:b/>
          <w:bCs/>
          <w:szCs w:val="28"/>
        </w:rPr>
        <w:t>Avgifter för nya tillstånd för tobaksförsäljning från och med 1 juli 2019:</w:t>
      </w:r>
    </w:p>
    <w:p w:rsidR="002464C9" w:rsidRPr="004E6239" w:rsidRDefault="002464C9" w:rsidP="002464C9">
      <w:pPr>
        <w:autoSpaceDE w:val="0"/>
        <w:autoSpaceDN w:val="0"/>
        <w:adjustRightInd w:val="0"/>
        <w:spacing w:before="0" w:after="0"/>
        <w:ind w:left="1304" w:hanging="1304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Style w:val="Tabellrutnt3"/>
        <w:tblW w:w="9300" w:type="dxa"/>
        <w:tblLook w:val="04A0" w:firstRow="1" w:lastRow="0" w:firstColumn="1" w:lastColumn="0" w:noHBand="0" w:noVBand="1"/>
      </w:tblPr>
      <w:tblGrid>
        <w:gridCol w:w="7933"/>
        <w:gridCol w:w="1367"/>
      </w:tblGrid>
      <w:tr w:rsidR="002464C9" w:rsidRPr="004E6239" w:rsidTr="006026BE">
        <w:trPr>
          <w:trHeight w:val="261"/>
        </w:trPr>
        <w:tc>
          <w:tcPr>
            <w:tcW w:w="7933" w:type="dxa"/>
          </w:tcPr>
          <w:p w:rsidR="002464C9" w:rsidRPr="004E6239" w:rsidRDefault="002464C9" w:rsidP="006026BE">
            <w:pPr>
              <w:autoSpaceDE w:val="0"/>
              <w:autoSpaceDN w:val="0"/>
              <w:adjustRightInd w:val="0"/>
              <w:spacing w:before="0" w:after="0"/>
              <w:rPr>
                <w:b/>
                <w:color w:val="000000"/>
                <w:sz w:val="22"/>
              </w:rPr>
            </w:pPr>
            <w:r w:rsidRPr="004E6239">
              <w:rPr>
                <w:b/>
                <w:color w:val="000000"/>
                <w:sz w:val="22"/>
              </w:rPr>
              <w:t>Kategori</w:t>
            </w:r>
          </w:p>
        </w:tc>
        <w:tc>
          <w:tcPr>
            <w:tcW w:w="1367" w:type="dxa"/>
          </w:tcPr>
          <w:p w:rsidR="002464C9" w:rsidRPr="004E6239" w:rsidRDefault="002464C9" w:rsidP="006026BE">
            <w:pPr>
              <w:autoSpaceDE w:val="0"/>
              <w:autoSpaceDN w:val="0"/>
              <w:adjustRightInd w:val="0"/>
              <w:spacing w:before="0" w:after="0"/>
              <w:jc w:val="right"/>
              <w:rPr>
                <w:b/>
                <w:color w:val="000000"/>
                <w:sz w:val="22"/>
              </w:rPr>
            </w:pPr>
            <w:r w:rsidRPr="004E6239">
              <w:rPr>
                <w:b/>
                <w:color w:val="000000"/>
                <w:sz w:val="22"/>
              </w:rPr>
              <w:t>Avgift per år, kr</w:t>
            </w:r>
          </w:p>
        </w:tc>
      </w:tr>
      <w:tr w:rsidR="002464C9" w:rsidRPr="004E6239" w:rsidTr="006026BE">
        <w:trPr>
          <w:trHeight w:val="261"/>
        </w:trPr>
        <w:tc>
          <w:tcPr>
            <w:tcW w:w="7933" w:type="dxa"/>
          </w:tcPr>
          <w:p w:rsidR="002464C9" w:rsidRPr="004E6239" w:rsidRDefault="002464C9" w:rsidP="006026B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</w:rPr>
            </w:pPr>
            <w:r w:rsidRPr="004E6239">
              <w:rPr>
                <w:color w:val="000000"/>
                <w:sz w:val="22"/>
              </w:rPr>
              <w:t>Ansökan om tillstånd för att sälja tobak.</w:t>
            </w:r>
          </w:p>
        </w:tc>
        <w:tc>
          <w:tcPr>
            <w:tcW w:w="1367" w:type="dxa"/>
          </w:tcPr>
          <w:p w:rsidR="002464C9" w:rsidRPr="004E6239" w:rsidRDefault="002464C9" w:rsidP="006026BE">
            <w:pPr>
              <w:autoSpaceDE w:val="0"/>
              <w:autoSpaceDN w:val="0"/>
              <w:adjustRightInd w:val="0"/>
              <w:spacing w:before="0" w:after="0"/>
              <w:jc w:val="right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>5 800</w:t>
            </w:r>
          </w:p>
        </w:tc>
      </w:tr>
      <w:tr w:rsidR="002464C9" w:rsidRPr="004E6239" w:rsidTr="006026BE">
        <w:trPr>
          <w:trHeight w:val="316"/>
        </w:trPr>
        <w:tc>
          <w:tcPr>
            <w:tcW w:w="7933" w:type="dxa"/>
          </w:tcPr>
          <w:p w:rsidR="002464C9" w:rsidRPr="004E6239" w:rsidRDefault="002464C9" w:rsidP="006026B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</w:rPr>
            </w:pPr>
            <w:r w:rsidRPr="004E6239">
              <w:rPr>
                <w:color w:val="000000"/>
                <w:sz w:val="22"/>
              </w:rPr>
              <w:t>Ansökan om tillfälligt tillstånd för att sälja tobak.</w:t>
            </w:r>
          </w:p>
        </w:tc>
        <w:tc>
          <w:tcPr>
            <w:tcW w:w="1367" w:type="dxa"/>
          </w:tcPr>
          <w:p w:rsidR="002464C9" w:rsidRPr="004E6239" w:rsidRDefault="002464C9" w:rsidP="006026BE">
            <w:pPr>
              <w:autoSpaceDE w:val="0"/>
              <w:autoSpaceDN w:val="0"/>
              <w:adjustRightInd w:val="0"/>
              <w:spacing w:before="0" w:after="0"/>
              <w:jc w:val="right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>5 800</w:t>
            </w:r>
          </w:p>
        </w:tc>
      </w:tr>
      <w:tr w:rsidR="002464C9" w:rsidRPr="004E6239" w:rsidTr="006026BE">
        <w:trPr>
          <w:trHeight w:val="278"/>
        </w:trPr>
        <w:tc>
          <w:tcPr>
            <w:tcW w:w="7933" w:type="dxa"/>
          </w:tcPr>
          <w:p w:rsidR="002464C9" w:rsidRPr="004E6239" w:rsidRDefault="002464C9" w:rsidP="006026B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</w:rPr>
            </w:pPr>
            <w:r w:rsidRPr="004E6239">
              <w:rPr>
                <w:color w:val="000000"/>
                <w:sz w:val="22"/>
              </w:rPr>
              <w:t>Anmälan om ändrade ägar- eller bolagsförhållanden.</w:t>
            </w:r>
          </w:p>
        </w:tc>
        <w:tc>
          <w:tcPr>
            <w:tcW w:w="1367" w:type="dxa"/>
          </w:tcPr>
          <w:p w:rsidR="002464C9" w:rsidRPr="004E6239" w:rsidRDefault="002464C9" w:rsidP="006026BE">
            <w:pPr>
              <w:autoSpaceDE w:val="0"/>
              <w:autoSpaceDN w:val="0"/>
              <w:adjustRightInd w:val="0"/>
              <w:spacing w:before="0" w:after="0"/>
              <w:jc w:val="right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2 500</w:t>
            </w:r>
          </w:p>
        </w:tc>
      </w:tr>
      <w:tr w:rsidR="002464C9" w:rsidRPr="004E6239" w:rsidTr="006026BE">
        <w:trPr>
          <w:trHeight w:val="261"/>
        </w:trPr>
        <w:tc>
          <w:tcPr>
            <w:tcW w:w="7933" w:type="dxa"/>
          </w:tcPr>
          <w:p w:rsidR="002464C9" w:rsidRPr="004E6239" w:rsidRDefault="002464C9" w:rsidP="006026BE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</w:rPr>
            </w:pPr>
            <w:r w:rsidRPr="004E6239">
              <w:rPr>
                <w:color w:val="000000"/>
                <w:sz w:val="22"/>
              </w:rPr>
              <w:t>Anmälan om förändrat tillstånd.</w:t>
            </w:r>
          </w:p>
        </w:tc>
        <w:tc>
          <w:tcPr>
            <w:tcW w:w="1367" w:type="dxa"/>
          </w:tcPr>
          <w:p w:rsidR="002464C9" w:rsidRPr="004E6239" w:rsidRDefault="002464C9" w:rsidP="006026BE">
            <w:pPr>
              <w:autoSpaceDE w:val="0"/>
              <w:autoSpaceDN w:val="0"/>
              <w:adjustRightInd w:val="0"/>
              <w:spacing w:before="0" w:after="0"/>
              <w:jc w:val="right"/>
              <w:rPr>
                <w:color w:val="FF0000"/>
                <w:sz w:val="22"/>
              </w:rPr>
            </w:pPr>
            <w:r w:rsidRPr="004E6239">
              <w:rPr>
                <w:color w:val="FF0000"/>
                <w:sz w:val="22"/>
              </w:rPr>
              <w:t xml:space="preserve">  1 725</w:t>
            </w:r>
          </w:p>
        </w:tc>
      </w:tr>
    </w:tbl>
    <w:p w:rsidR="002464C9" w:rsidRPr="004E6239" w:rsidRDefault="002464C9" w:rsidP="002464C9">
      <w:pPr>
        <w:spacing w:before="0" w:after="160" w:line="259" w:lineRule="auto"/>
        <w:rPr>
          <w:sz w:val="22"/>
        </w:rPr>
      </w:pPr>
    </w:p>
    <w:p w:rsidR="002464C9" w:rsidRPr="00C82952" w:rsidRDefault="002464C9" w:rsidP="002464C9">
      <w:pPr>
        <w:spacing w:before="0" w:after="0"/>
        <w:rPr>
          <w:rFonts w:ascii="Garamond" w:eastAsia="Times New Roman" w:hAnsi="Garamond" w:cs="Times New Roman"/>
          <w:szCs w:val="24"/>
        </w:rPr>
      </w:pPr>
    </w:p>
    <w:p w:rsidR="002464C9" w:rsidRPr="004E6239" w:rsidRDefault="002464C9" w:rsidP="002464C9">
      <w:pPr>
        <w:pStyle w:val="Rubrik2"/>
        <w:rPr>
          <w:sz w:val="24"/>
          <w:szCs w:val="24"/>
        </w:rPr>
      </w:pPr>
      <w:r w:rsidRPr="004E6239">
        <w:rPr>
          <w:sz w:val="24"/>
          <w:szCs w:val="24"/>
        </w:rPr>
        <w:t xml:space="preserve">Taxa för vård och omsorg om äldre och personer med funktionsnedsättning. </w:t>
      </w:r>
    </w:p>
    <w:p w:rsidR="002464C9" w:rsidRPr="00C82952" w:rsidRDefault="002464C9" w:rsidP="002464C9">
      <w:pPr>
        <w:widowControl w:val="0"/>
        <w:numPr>
          <w:ilvl w:val="0"/>
          <w:numId w:val="3"/>
        </w:numPr>
        <w:tabs>
          <w:tab w:val="left" w:pos="686"/>
          <w:tab w:val="left" w:pos="687"/>
        </w:tabs>
        <w:autoSpaceDE w:val="0"/>
        <w:autoSpaceDN w:val="0"/>
        <w:spacing w:before="0" w:after="0"/>
        <w:outlineLvl w:val="0"/>
        <w:rPr>
          <w:rFonts w:ascii="Arial" w:eastAsia="Garamond" w:hAnsi="Garamond" w:cs="Garamond"/>
          <w:b/>
          <w:bCs/>
          <w:szCs w:val="24"/>
        </w:rPr>
      </w:pPr>
      <w:r w:rsidRPr="00C82952">
        <w:rPr>
          <w:rFonts w:ascii="Arial" w:eastAsia="Garamond" w:hAnsi="Garamond" w:cs="Garamond"/>
          <w:b/>
          <w:bCs/>
          <w:szCs w:val="24"/>
        </w:rPr>
        <w:t>Avgift</w:t>
      </w:r>
    </w:p>
    <w:p w:rsidR="002464C9" w:rsidRPr="00C82952" w:rsidRDefault="002464C9" w:rsidP="002464C9">
      <w:pPr>
        <w:widowControl w:val="0"/>
        <w:autoSpaceDE w:val="0"/>
        <w:autoSpaceDN w:val="0"/>
        <w:spacing w:before="0" w:after="0"/>
        <w:rPr>
          <w:rFonts w:ascii="Garamond" w:eastAsia="Garamond" w:hAnsi="Garamond" w:cs="Garamond"/>
          <w:sz w:val="26"/>
          <w:szCs w:val="24"/>
        </w:rPr>
      </w:pPr>
    </w:p>
    <w:p w:rsidR="002464C9" w:rsidRPr="00DC0D31" w:rsidRDefault="002464C9" w:rsidP="002464C9">
      <w:pPr>
        <w:pStyle w:val="Liststycke"/>
        <w:widowControl w:val="0"/>
        <w:numPr>
          <w:ilvl w:val="1"/>
          <w:numId w:val="4"/>
        </w:numPr>
        <w:shd w:val="clear" w:color="auto" w:fill="FFFFFF" w:themeFill="background1"/>
        <w:tabs>
          <w:tab w:val="left" w:pos="685"/>
          <w:tab w:val="left" w:pos="686"/>
        </w:tabs>
        <w:autoSpaceDE w:val="0"/>
        <w:autoSpaceDN w:val="0"/>
        <w:spacing w:before="0" w:after="0"/>
        <w:outlineLvl w:val="0"/>
        <w:rPr>
          <w:rFonts w:ascii="Garamond" w:eastAsia="Garamond" w:hAnsi="Garamond" w:cs="Garamond"/>
          <w:b/>
          <w:bCs/>
          <w:szCs w:val="24"/>
        </w:rPr>
      </w:pPr>
      <w:r w:rsidRPr="00930099">
        <w:rPr>
          <w:rFonts w:ascii="Garamond" w:eastAsia="Garamond" w:hAnsi="Garamond" w:cs="Garamond"/>
          <w:b/>
          <w:bCs/>
          <w:szCs w:val="24"/>
        </w:rPr>
        <w:t xml:space="preserve">Avgift för hemtjänst, </w:t>
      </w:r>
      <w:r w:rsidRPr="00DC0D31">
        <w:rPr>
          <w:rFonts w:ascii="Garamond" w:eastAsia="Garamond" w:hAnsi="Garamond" w:cs="Garamond"/>
          <w:b/>
          <w:bCs/>
          <w:szCs w:val="24"/>
        </w:rPr>
        <w:t xml:space="preserve">boendestöd, hemsjukvård </w:t>
      </w:r>
      <w:proofErr w:type="gramStart"/>
      <w:r w:rsidRPr="00DC0D31">
        <w:rPr>
          <w:rFonts w:ascii="Garamond" w:eastAsia="Garamond" w:hAnsi="Garamond" w:cs="Garamond"/>
          <w:b/>
          <w:bCs/>
          <w:szCs w:val="24"/>
        </w:rPr>
        <w:t xml:space="preserve">och </w:t>
      </w:r>
      <w:r w:rsidRPr="00DC0D31">
        <w:rPr>
          <w:rFonts w:ascii="Garamond" w:eastAsia="Garamond" w:hAnsi="Garamond" w:cs="Garamond"/>
          <w:b/>
          <w:bCs/>
          <w:spacing w:val="-43"/>
          <w:szCs w:val="24"/>
        </w:rPr>
        <w:t xml:space="preserve"> </w:t>
      </w:r>
      <w:r w:rsidRPr="00DC0D31">
        <w:rPr>
          <w:rFonts w:ascii="Garamond" w:eastAsia="Garamond" w:hAnsi="Garamond" w:cs="Garamond"/>
          <w:b/>
          <w:bCs/>
          <w:szCs w:val="24"/>
        </w:rPr>
        <w:t>dagverksamhet</w:t>
      </w:r>
      <w:proofErr w:type="gramEnd"/>
    </w:p>
    <w:p w:rsidR="002464C9" w:rsidRPr="00C82952" w:rsidRDefault="002464C9" w:rsidP="002464C9">
      <w:pPr>
        <w:widowControl w:val="0"/>
        <w:autoSpaceDE w:val="0"/>
        <w:autoSpaceDN w:val="0"/>
        <w:spacing w:before="0" w:after="0"/>
        <w:rPr>
          <w:rFonts w:ascii="Garamond" w:eastAsia="Garamond" w:hAnsi="Garamond" w:cs="Garamond"/>
          <w:szCs w:val="24"/>
        </w:rPr>
      </w:pPr>
    </w:p>
    <w:p w:rsidR="002464C9" w:rsidRPr="00D83203" w:rsidRDefault="002464C9" w:rsidP="002464C9">
      <w:pPr>
        <w:widowControl w:val="0"/>
        <w:numPr>
          <w:ilvl w:val="0"/>
          <w:numId w:val="2"/>
        </w:numPr>
        <w:tabs>
          <w:tab w:val="left" w:pos="402"/>
          <w:tab w:val="left" w:pos="403"/>
        </w:tabs>
        <w:autoSpaceDE w:val="0"/>
        <w:autoSpaceDN w:val="0"/>
        <w:spacing w:before="0" w:after="0"/>
        <w:ind w:hanging="284"/>
        <w:rPr>
          <w:rFonts w:ascii="Garamond" w:eastAsia="Garamond" w:hAnsi="Garamond" w:cs="Garamond"/>
          <w:strike/>
          <w:color w:val="FF0000"/>
        </w:rPr>
      </w:pPr>
      <w:r w:rsidRPr="00D83203">
        <w:rPr>
          <w:rFonts w:ascii="Garamond" w:eastAsia="Garamond" w:hAnsi="Garamond" w:cs="Garamond"/>
          <w:color w:val="FF0000"/>
        </w:rPr>
        <w:t>För trygghetslarm</w:t>
      </w:r>
      <w:r w:rsidRPr="00D83203">
        <w:rPr>
          <w:rFonts w:ascii="Garamond" w:eastAsia="Garamond" w:hAnsi="Garamond" w:cs="Garamond"/>
          <w:strike/>
          <w:color w:val="FF0000"/>
        </w:rPr>
        <w:t xml:space="preserve"> är avgiften 100</w:t>
      </w:r>
      <w:r w:rsidRPr="00D83203">
        <w:rPr>
          <w:rFonts w:ascii="Garamond" w:eastAsia="Garamond" w:hAnsi="Garamond" w:cs="Garamond"/>
          <w:strike/>
          <w:color w:val="FF0000"/>
          <w:spacing w:val="-10"/>
        </w:rPr>
        <w:t xml:space="preserve"> </w:t>
      </w:r>
      <w:r w:rsidRPr="00D83203">
        <w:rPr>
          <w:rFonts w:ascii="Garamond" w:eastAsia="Garamond" w:hAnsi="Garamond" w:cs="Garamond"/>
          <w:strike/>
          <w:color w:val="FF0000"/>
        </w:rPr>
        <w:t>kr/mån.</w:t>
      </w:r>
      <w:r w:rsidRPr="00C96FA9">
        <w:rPr>
          <w:rFonts w:ascii="Garamond" w:eastAsia="Garamond" w:hAnsi="Garamond" w:cs="Garamond"/>
          <w:color w:val="FF0000"/>
        </w:rPr>
        <w:t xml:space="preserve"> </w:t>
      </w:r>
      <w:r>
        <w:rPr>
          <w:rFonts w:ascii="Garamond" w:eastAsia="Garamond" w:hAnsi="Garamond" w:cs="Garamond"/>
          <w:color w:val="FF0000"/>
        </w:rPr>
        <w:t>erläggs en depositionsavgift om 250 kr.</w:t>
      </w:r>
    </w:p>
    <w:p w:rsidR="002464C9" w:rsidRDefault="002464C9" w:rsidP="002464C9">
      <w:pPr>
        <w:widowControl w:val="0"/>
        <w:autoSpaceDE w:val="0"/>
        <w:autoSpaceDN w:val="0"/>
        <w:spacing w:before="10" w:after="0"/>
        <w:rPr>
          <w:rFonts w:ascii="Garamond" w:eastAsia="Garamond" w:hAnsi="Garamond" w:cs="Garamond"/>
          <w:sz w:val="23"/>
          <w:szCs w:val="24"/>
        </w:rPr>
      </w:pPr>
    </w:p>
    <w:p w:rsidR="002464C9" w:rsidRPr="00C82952" w:rsidRDefault="002464C9" w:rsidP="002464C9">
      <w:pPr>
        <w:widowControl w:val="0"/>
        <w:autoSpaceDE w:val="0"/>
        <w:autoSpaceDN w:val="0"/>
        <w:spacing w:before="10" w:after="0"/>
        <w:rPr>
          <w:rFonts w:ascii="Garamond" w:eastAsia="Garamond" w:hAnsi="Garamond" w:cs="Garamond"/>
          <w:sz w:val="23"/>
          <w:szCs w:val="24"/>
        </w:rPr>
      </w:pPr>
    </w:p>
    <w:p w:rsidR="002464C9" w:rsidRPr="004E6239" w:rsidRDefault="002464C9" w:rsidP="002464C9">
      <w:pPr>
        <w:pStyle w:val="Rubrik2"/>
        <w:rPr>
          <w:sz w:val="24"/>
          <w:szCs w:val="24"/>
        </w:rPr>
      </w:pPr>
      <w:r w:rsidRPr="004E6239">
        <w:rPr>
          <w:sz w:val="24"/>
          <w:szCs w:val="24"/>
        </w:rPr>
        <w:t>PBL</w:t>
      </w:r>
    </w:p>
    <w:p w:rsidR="002464C9" w:rsidRPr="00C96FA9" w:rsidRDefault="002464C9" w:rsidP="002464C9">
      <w:pPr>
        <w:rPr>
          <w:color w:val="FF0000"/>
          <w:lang w:eastAsia="sv-SE"/>
        </w:rPr>
      </w:pPr>
      <w:proofErr w:type="spellStart"/>
      <w:r>
        <w:rPr>
          <w:color w:val="FF0000"/>
          <w:lang w:eastAsia="sv-SE"/>
        </w:rPr>
        <w:t>Sakersättningstaxor</w:t>
      </w:r>
      <w:proofErr w:type="spellEnd"/>
      <w:r>
        <w:rPr>
          <w:color w:val="FF0000"/>
          <w:lang w:eastAsia="sv-SE"/>
        </w:rPr>
        <w:t xml:space="preserve"> ska ersätta nuvarande modell för taxor.</w:t>
      </w:r>
    </w:p>
    <w:p w:rsidR="002464C9" w:rsidRDefault="002464C9"/>
    <w:sectPr w:rsidR="00246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09" w:rsidRDefault="00290909" w:rsidP="002464C9">
      <w:pPr>
        <w:spacing w:before="0" w:after="0"/>
      </w:pPr>
      <w:r>
        <w:separator/>
      </w:r>
    </w:p>
  </w:endnote>
  <w:endnote w:type="continuationSeparator" w:id="0">
    <w:p w:rsidR="00290909" w:rsidRDefault="00290909" w:rsidP="002464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C9" w:rsidRDefault="002464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C9" w:rsidRDefault="002464C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C9" w:rsidRDefault="002464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09" w:rsidRDefault="00290909" w:rsidP="002464C9">
      <w:pPr>
        <w:spacing w:before="0" w:after="0"/>
      </w:pPr>
      <w:r>
        <w:separator/>
      </w:r>
    </w:p>
  </w:footnote>
  <w:footnote w:type="continuationSeparator" w:id="0">
    <w:p w:rsidR="00290909" w:rsidRDefault="00290909" w:rsidP="002464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C9" w:rsidRDefault="002464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C9" w:rsidRDefault="002464C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C9" w:rsidRDefault="002464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DE2"/>
    <w:multiLevelType w:val="hybridMultilevel"/>
    <w:tmpl w:val="2362C20C"/>
    <w:lvl w:ilvl="0" w:tplc="F23CA0C2">
      <w:numFmt w:val="bullet"/>
      <w:lvlText w:val="-"/>
      <w:lvlJc w:val="left"/>
      <w:pPr>
        <w:ind w:left="402" w:hanging="2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EBE4DB4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431029E8">
      <w:numFmt w:val="bullet"/>
      <w:lvlText w:val="•"/>
      <w:lvlJc w:val="left"/>
      <w:pPr>
        <w:ind w:left="2180" w:hanging="285"/>
      </w:pPr>
      <w:rPr>
        <w:rFonts w:hint="default"/>
      </w:rPr>
    </w:lvl>
    <w:lvl w:ilvl="3" w:tplc="F3C20288">
      <w:numFmt w:val="bullet"/>
      <w:lvlText w:val="•"/>
      <w:lvlJc w:val="left"/>
      <w:pPr>
        <w:ind w:left="3071" w:hanging="285"/>
      </w:pPr>
      <w:rPr>
        <w:rFonts w:hint="default"/>
      </w:rPr>
    </w:lvl>
    <w:lvl w:ilvl="4" w:tplc="6EBEF486">
      <w:numFmt w:val="bullet"/>
      <w:lvlText w:val="•"/>
      <w:lvlJc w:val="left"/>
      <w:pPr>
        <w:ind w:left="3961" w:hanging="285"/>
      </w:pPr>
      <w:rPr>
        <w:rFonts w:hint="default"/>
      </w:rPr>
    </w:lvl>
    <w:lvl w:ilvl="5" w:tplc="6D8861AC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8CC60ECE">
      <w:numFmt w:val="bullet"/>
      <w:lvlText w:val="•"/>
      <w:lvlJc w:val="left"/>
      <w:pPr>
        <w:ind w:left="5742" w:hanging="285"/>
      </w:pPr>
      <w:rPr>
        <w:rFonts w:hint="default"/>
      </w:rPr>
    </w:lvl>
    <w:lvl w:ilvl="7" w:tplc="79645046">
      <w:numFmt w:val="bullet"/>
      <w:lvlText w:val="•"/>
      <w:lvlJc w:val="left"/>
      <w:pPr>
        <w:ind w:left="6633" w:hanging="285"/>
      </w:pPr>
      <w:rPr>
        <w:rFonts w:hint="default"/>
      </w:rPr>
    </w:lvl>
    <w:lvl w:ilvl="8" w:tplc="F3663BB8">
      <w:numFmt w:val="bullet"/>
      <w:lvlText w:val="•"/>
      <w:lvlJc w:val="left"/>
      <w:pPr>
        <w:ind w:left="7523" w:hanging="285"/>
      </w:pPr>
      <w:rPr>
        <w:rFonts w:hint="default"/>
      </w:rPr>
    </w:lvl>
  </w:abstractNum>
  <w:abstractNum w:abstractNumId="1" w15:restartNumberingAfterBreak="0">
    <w:nsid w:val="1B902647"/>
    <w:multiLevelType w:val="multilevel"/>
    <w:tmpl w:val="47085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4" w:hanging="2160"/>
      </w:pPr>
      <w:rPr>
        <w:rFonts w:hint="default"/>
      </w:rPr>
    </w:lvl>
  </w:abstractNum>
  <w:abstractNum w:abstractNumId="2" w15:restartNumberingAfterBreak="0">
    <w:nsid w:val="2F5217A1"/>
    <w:multiLevelType w:val="hybridMultilevel"/>
    <w:tmpl w:val="6CB4BB4A"/>
    <w:lvl w:ilvl="0" w:tplc="579C885A">
      <w:start w:val="2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7521"/>
    <w:multiLevelType w:val="multilevel"/>
    <w:tmpl w:val="0B02B298"/>
    <w:lvl w:ilvl="0">
      <w:start w:val="1"/>
      <w:numFmt w:val="decimal"/>
      <w:lvlText w:val="%1"/>
      <w:lvlJc w:val="left"/>
      <w:pPr>
        <w:ind w:left="686" w:hanging="568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686" w:hanging="568"/>
      </w:pPr>
      <w:rPr>
        <w:rFonts w:ascii="Garamond" w:eastAsia="Garamond" w:hAnsi="Garamond" w:cs="Garamond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04" w:hanging="568"/>
      </w:pPr>
      <w:rPr>
        <w:rFonts w:hint="default"/>
      </w:rPr>
    </w:lvl>
    <w:lvl w:ilvl="3">
      <w:numFmt w:val="bullet"/>
      <w:lvlText w:val="•"/>
      <w:lvlJc w:val="left"/>
      <w:pPr>
        <w:ind w:left="3267" w:hanging="568"/>
      </w:pPr>
      <w:rPr>
        <w:rFonts w:hint="default"/>
      </w:rPr>
    </w:lvl>
    <w:lvl w:ilvl="4">
      <w:numFmt w:val="bullet"/>
      <w:lvlText w:val="•"/>
      <w:lvlJc w:val="left"/>
      <w:pPr>
        <w:ind w:left="4129" w:hanging="568"/>
      </w:pPr>
      <w:rPr>
        <w:rFonts w:hint="default"/>
      </w:rPr>
    </w:lvl>
    <w:lvl w:ilvl="5">
      <w:numFmt w:val="bullet"/>
      <w:lvlText w:val="•"/>
      <w:lvlJc w:val="left"/>
      <w:pPr>
        <w:ind w:left="4992" w:hanging="568"/>
      </w:pPr>
      <w:rPr>
        <w:rFonts w:hint="default"/>
      </w:rPr>
    </w:lvl>
    <w:lvl w:ilvl="6">
      <w:numFmt w:val="bullet"/>
      <w:lvlText w:val="•"/>
      <w:lvlJc w:val="left"/>
      <w:pPr>
        <w:ind w:left="5854" w:hanging="568"/>
      </w:pPr>
      <w:rPr>
        <w:rFonts w:hint="default"/>
      </w:rPr>
    </w:lvl>
    <w:lvl w:ilvl="7">
      <w:numFmt w:val="bullet"/>
      <w:lvlText w:val="•"/>
      <w:lvlJc w:val="left"/>
      <w:pPr>
        <w:ind w:left="6717" w:hanging="568"/>
      </w:pPr>
      <w:rPr>
        <w:rFonts w:hint="default"/>
      </w:rPr>
    </w:lvl>
    <w:lvl w:ilvl="8">
      <w:numFmt w:val="bullet"/>
      <w:lvlText w:val="•"/>
      <w:lvlJc w:val="left"/>
      <w:pPr>
        <w:ind w:left="7579" w:hanging="56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C9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464C9"/>
    <w:rsid w:val="00274C52"/>
    <w:rsid w:val="002879DD"/>
    <w:rsid w:val="00290909"/>
    <w:rsid w:val="002E3135"/>
    <w:rsid w:val="002E5158"/>
    <w:rsid w:val="00302241"/>
    <w:rsid w:val="00397A26"/>
    <w:rsid w:val="003C60FF"/>
    <w:rsid w:val="003D174E"/>
    <w:rsid w:val="00403375"/>
    <w:rsid w:val="00405CA6"/>
    <w:rsid w:val="004A16D6"/>
    <w:rsid w:val="004A232D"/>
    <w:rsid w:val="004D21C9"/>
    <w:rsid w:val="004F432E"/>
    <w:rsid w:val="005572F5"/>
    <w:rsid w:val="005D6D65"/>
    <w:rsid w:val="006131ED"/>
    <w:rsid w:val="00632785"/>
    <w:rsid w:val="006C1784"/>
    <w:rsid w:val="006C6BEB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942B"/>
  <w15:chartTrackingRefBased/>
  <w15:docId w15:val="{AF50C66E-72F4-4D60-9477-4CB77A17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C9"/>
    <w:pPr>
      <w:spacing w:before="120"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464C9"/>
    <w:pPr>
      <w:keepNext/>
      <w:keepLines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464C9"/>
    <w:pPr>
      <w:keepNext/>
      <w:keepLines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64C9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464C9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2464C9"/>
    <w:pPr>
      <w:ind w:left="720"/>
      <w:contextualSpacing/>
    </w:pPr>
  </w:style>
  <w:style w:type="table" w:customStyle="1" w:styleId="Tabellrutnt3">
    <w:name w:val="Tabellrutnät3"/>
    <w:basedOn w:val="Normaltabell"/>
    <w:next w:val="Tabellrutnt"/>
    <w:uiPriority w:val="39"/>
    <w:rsid w:val="0024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24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464C9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464C9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2464C9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2464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8" baseType="lpstr">
      <vt:lpstr/>
      <vt:lpstr>Yrkande – taxor och avgifter</vt:lpstr>
      <vt:lpstr>    Taxa för prövning och tillsyn enligt alkohollagen, tobakslagen, lagen om elektro</vt:lpstr>
      <vt:lpstr>Avgifter för nya tillstånd för tobaksförsäljning från och med 1 juli 2019:</vt:lpstr>
      <vt:lpstr>    Taxa för vård och omsorg om äldre och personer med funktionsnedsättning. </vt:lpstr>
      <vt:lpstr>Avgift</vt:lpstr>
      <vt:lpstr>Avgift för hemtjänst, boendestöd, hemsjukvård och  dagverksamhet</vt:lpstr>
      <vt:lpstr>    PBL</vt:lpstr>
    </vt:vector>
  </TitlesOfParts>
  <Company>Borås Stad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1</cp:revision>
  <dcterms:created xsi:type="dcterms:W3CDTF">2019-11-08T12:30:00Z</dcterms:created>
  <dcterms:modified xsi:type="dcterms:W3CDTF">2019-11-08T12:31:00Z</dcterms:modified>
</cp:coreProperties>
</file>