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BC31FC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BC31FC" w:rsidRDefault="00BC31FC" w:rsidP="000F4FD2">
            <w:pPr>
              <w:pStyle w:val="Sidhuvud"/>
              <w:spacing w:after="360"/>
            </w:pPr>
            <w:bookmarkStart w:id="0" w:name="_GoBack"/>
            <w:bookmarkEnd w:id="0"/>
            <w:r w:rsidRPr="00BC31FC">
              <w:rPr>
                <w:noProof/>
              </w:rPr>
              <w:drawing>
                <wp:inline distT="0" distB="0" distL="0" distR="0">
                  <wp:extent cx="2016000" cy="396848"/>
                  <wp:effectExtent l="0" t="0" r="3810" b="3810"/>
                  <wp:docPr id="1" name="Bildobjekt 1" descr="Borås St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39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BC31FC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BC31FC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BC31FC" w:rsidRDefault="00BC31FC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BC31FC" w:rsidRDefault="00AE031D" w:rsidP="00BA3549">
            <w:pPr>
              <w:pStyle w:val="Sidhuvud"/>
            </w:pPr>
            <w:r w:rsidRPr="00BC31FC">
              <w:rPr>
                <w:rStyle w:val="Sidnummer"/>
              </w:rPr>
              <w:fldChar w:fldCharType="begin"/>
            </w:r>
            <w:r w:rsidR="009969B2" w:rsidRPr="00BC31FC">
              <w:rPr>
                <w:rStyle w:val="Sidnummer"/>
              </w:rPr>
              <w:instrText xml:space="preserve"> PAGE </w:instrText>
            </w:r>
            <w:r w:rsidRPr="00BC31FC">
              <w:rPr>
                <w:rStyle w:val="Sidnummer"/>
              </w:rPr>
              <w:fldChar w:fldCharType="separate"/>
            </w:r>
            <w:r w:rsidR="00FB1081">
              <w:rPr>
                <w:rStyle w:val="Sidnummer"/>
                <w:noProof/>
              </w:rPr>
              <w:t>1</w:t>
            </w:r>
            <w:r w:rsidRPr="00BC31FC">
              <w:rPr>
                <w:rStyle w:val="Sidnummer"/>
              </w:rPr>
              <w:fldChar w:fldCharType="end"/>
            </w:r>
            <w:r w:rsidR="009969B2" w:rsidRPr="00BC31FC">
              <w:rPr>
                <w:rStyle w:val="Sidnummer"/>
              </w:rPr>
              <w:t>(</w:t>
            </w:r>
            <w:r w:rsidR="00BA3549">
              <w:rPr>
                <w:rStyle w:val="Sidnummer"/>
              </w:rPr>
              <w:t>3</w:t>
            </w:r>
            <w:r w:rsidR="009969B2" w:rsidRPr="00BC31FC">
              <w:rPr>
                <w:rStyle w:val="Sidnummer"/>
              </w:rPr>
              <w:t>)</w:t>
            </w:r>
          </w:p>
        </w:tc>
      </w:tr>
      <w:tr w:rsidR="005138D5" w:rsidRPr="00BC31FC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BC31FC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EA90AB5A3A984681AD6D91F99DCAB244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BC31FC" w:rsidRDefault="00BC31FC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BC31FC" w:rsidRDefault="008A66D6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25F232A86B0A4B96AF0D258A83D7669A"/>
                </w:placeholder>
                <w:dataBinding w:prefixMappings="" w:xpath="/FORMsoft[1]/OurDate[1]" w:storeItemID="{0C51AE3A-97AB-4E59-8CBD-BD8F06016390}"/>
                <w:date w:fullDate="2019-06-0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E750D">
                  <w:t>2019-06-03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Referens ledtext"/>
              <w:tag w:val="Vår referens ledtext"/>
              <w:id w:val="315458099"/>
              <w:placeholder>
                <w:docPart w:val="7CBBE0F8D1834C658AE32BB6433BD8EE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BC31FC" w:rsidRDefault="001E0EDC" w:rsidP="00F60EEF">
                <w:pPr>
                  <w:pStyle w:val="Sidhuvudledtext"/>
                </w:pPr>
                <w:r w:rsidRPr="00BC31FC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Referens"/>
              <w:tag w:val="Vår referens"/>
              <w:id w:val="-1264759638"/>
              <w:placeholder>
                <w:docPart w:val="011CADC3A5ED4272963A713BE297BCE2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BC31FC" w:rsidRDefault="001E0EDC" w:rsidP="009C40F5">
                <w:pPr>
                  <w:pStyle w:val="Sidhuvud"/>
                </w:pPr>
                <w:r w:rsidRPr="00BC31FC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BC31FC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BC31FC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BC31FC" w:rsidRDefault="005138D5" w:rsidP="00A80BB2">
            <w:pPr>
              <w:pStyle w:val="Sidhuvudledtext"/>
            </w:pPr>
          </w:p>
          <w:p w:rsidR="005138D5" w:rsidRPr="00BC31FC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BC31FC" w:rsidRDefault="005138D5" w:rsidP="00A80BB2">
            <w:pPr>
              <w:pStyle w:val="Sidhuvudledtext"/>
            </w:pPr>
          </w:p>
          <w:p w:rsidR="005138D5" w:rsidRPr="00BC31FC" w:rsidRDefault="005138D5" w:rsidP="00A80BB2">
            <w:pPr>
              <w:pStyle w:val="Sidhuvud"/>
            </w:pPr>
          </w:p>
        </w:tc>
      </w:tr>
      <w:tr w:rsidR="005138D5" w:rsidRPr="00BC31FC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Default="005138D5" w:rsidP="00A80BB2">
            <w:pPr>
              <w:pStyle w:val="Sidhuvud"/>
            </w:pPr>
          </w:p>
          <w:p w:rsidR="004E750D" w:rsidRDefault="004E750D" w:rsidP="00A80BB2">
            <w:pPr>
              <w:pStyle w:val="Sidhuvud"/>
            </w:pPr>
          </w:p>
          <w:p w:rsidR="004E750D" w:rsidRPr="00BC31FC" w:rsidRDefault="004E750D" w:rsidP="00A80BB2">
            <w:pPr>
              <w:pStyle w:val="Sidhuvud"/>
            </w:pPr>
          </w:p>
        </w:tc>
      </w:tr>
      <w:tr w:rsidR="004E750D" w:rsidRPr="00BC31FC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E750D" w:rsidRDefault="004E750D" w:rsidP="00A80BB2">
            <w:pPr>
              <w:pStyle w:val="Sidhuvud"/>
            </w:pPr>
          </w:p>
        </w:tc>
      </w:tr>
      <w:tr w:rsidR="004E750D" w:rsidRPr="00BC31FC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E750D" w:rsidRDefault="004E750D" w:rsidP="00A80BB2">
            <w:pPr>
              <w:pStyle w:val="Sidhuvud"/>
            </w:pPr>
          </w:p>
        </w:tc>
      </w:tr>
      <w:tr w:rsidR="004E750D" w:rsidRPr="00BC31FC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E750D" w:rsidRDefault="004E750D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30768F7EBB834B48B13E6B4327737D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BC31FC" w:rsidRDefault="00317D9B" w:rsidP="00F10101">
          <w:pPr>
            <w:pStyle w:val="Rubrik1"/>
            <w:rPr>
              <w:rFonts w:eastAsiaTheme="minorEastAsia"/>
            </w:rPr>
          </w:pPr>
          <w:r>
            <w:t xml:space="preserve">Förslag: Resursfördelningsmodell </w:t>
          </w:r>
          <w:r w:rsidR="00DA32CD">
            <w:t>för ersättning till</w:t>
          </w:r>
          <w:r>
            <w:t xml:space="preserve"> fristående och kommunala</w:t>
          </w:r>
          <w:r w:rsidR="00912671">
            <w:t xml:space="preserve"> förskolor</w:t>
          </w:r>
        </w:p>
      </w:sdtContent>
    </w:sdt>
    <w:p w:rsidR="00BC31FC" w:rsidRDefault="00387990" w:rsidP="00BC31FC">
      <w:pPr>
        <w:pStyle w:val="Brdtext"/>
      </w:pPr>
      <w:r>
        <w:t xml:space="preserve">Vilken ersättning som en förskola får per barn styrs av ett antal lagar, förordningar och kommunala beslut. Syftet med </w:t>
      </w:r>
      <w:r w:rsidR="00DA32CD">
        <w:t xml:space="preserve">resursfördelningsmodellen är att tydliggöra för </w:t>
      </w:r>
      <w:r>
        <w:t>fristående o</w:t>
      </w:r>
      <w:r w:rsidR="00DA32CD">
        <w:t xml:space="preserve">ch kommunala aktörer </w:t>
      </w:r>
      <w:r>
        <w:t xml:space="preserve">vilka ersättningar som betalas ut per barn och hur avstämningen går till. </w:t>
      </w:r>
    </w:p>
    <w:p w:rsidR="00387990" w:rsidRPr="00227A01" w:rsidRDefault="00227A01" w:rsidP="00BC31FC">
      <w:pPr>
        <w:pStyle w:val="Brdtext"/>
      </w:pPr>
      <w:r w:rsidRPr="00227A01">
        <w:t>Nedan följer</w:t>
      </w:r>
      <w:r w:rsidR="00387990" w:rsidRPr="00227A01">
        <w:t xml:space="preserve"> resursfördelningsmodell</w:t>
      </w:r>
      <w:r w:rsidRPr="00227A01">
        <w:t xml:space="preserve"> för ersättning </w:t>
      </w:r>
      <w:r w:rsidR="00387990" w:rsidRPr="00227A01">
        <w:t xml:space="preserve">till fristående och kommunala förskolor. </w:t>
      </w:r>
    </w:p>
    <w:p w:rsidR="00BC31FC" w:rsidRDefault="00685034" w:rsidP="00BC31FC">
      <w:pPr>
        <w:pStyle w:val="Rubrik2"/>
      </w:pPr>
      <w:r>
        <w:t>Borås Stads</w:t>
      </w:r>
      <w:r w:rsidR="00DA32CD">
        <w:t xml:space="preserve"> grunder för beräkning av </w:t>
      </w:r>
      <w:r w:rsidR="00227A01">
        <w:t>ersättning</w:t>
      </w:r>
      <w:r>
        <w:t xml:space="preserve"> i form av grundbelopp till förskola </w:t>
      </w:r>
    </w:p>
    <w:p w:rsidR="00DB0407" w:rsidRDefault="00DA32CD" w:rsidP="00640D76">
      <w:pPr>
        <w:pStyle w:val="Brdtext"/>
      </w:pPr>
      <w:r>
        <w:t>Grundbeloppet är baserat</w:t>
      </w:r>
      <w:r w:rsidR="00640D76">
        <w:t xml:space="preserve"> på budgeterade kostnader i nämndens budget. Om ytterligare resurser ges </w:t>
      </w:r>
      <w:r w:rsidR="00C95E50">
        <w:t>till de kommunala förskolorna</w:t>
      </w:r>
      <w:r w:rsidR="00640D76">
        <w:t xml:space="preserve"> under budgetåret ska motsvarande tillskott ges till</w:t>
      </w:r>
      <w:r w:rsidR="00C95E50">
        <w:t xml:space="preserve"> de fristående förskolorna</w:t>
      </w:r>
      <w:r w:rsidR="00640D76">
        <w:t xml:space="preserve">. Ett nytt beslut ska då fattas om storleken på tillskottsbeloppet. </w:t>
      </w:r>
    </w:p>
    <w:p w:rsidR="00640D76" w:rsidRDefault="00640D76" w:rsidP="00640D76">
      <w:pPr>
        <w:pStyle w:val="Brdtext"/>
      </w:pPr>
      <w:r w:rsidRPr="00C95E50">
        <w:t>I de fall kommunen under löpande budgetår minskar ersättningen till den egna verksamheten ska en särskild prövning göras om en minskning avseende ersättningen även ska göras till enskilt bedriven verksamhet i motsvarande mån.</w:t>
      </w:r>
      <w:r>
        <w:t xml:space="preserve"> </w:t>
      </w:r>
    </w:p>
    <w:p w:rsidR="00640D76" w:rsidRPr="00E54BFD" w:rsidRDefault="00DA32CD" w:rsidP="00DB0407">
      <w:pPr>
        <w:pStyle w:val="Brdtext"/>
      </w:pPr>
      <w:r>
        <w:t>G</w:t>
      </w:r>
      <w:r w:rsidR="00640D76">
        <w:t>ru</w:t>
      </w:r>
      <w:r>
        <w:t xml:space="preserve">ndbeloppet avser ersättning för </w:t>
      </w:r>
      <w:r w:rsidR="00640D76">
        <w:t>omsorg och pedagogisk verksamhet</w:t>
      </w:r>
      <w:r w:rsidR="00DB0407">
        <w:t xml:space="preserve">. För </w:t>
      </w:r>
      <w:r w:rsidR="00640D76">
        <w:t>pedagogiskt material och utrustning, måltider och lokalkostnader</w:t>
      </w:r>
      <w:r w:rsidR="00B6708A">
        <w:t xml:space="preserve"> </w:t>
      </w:r>
      <w:r w:rsidR="00DB0407">
        <w:t xml:space="preserve">utgår </w:t>
      </w:r>
      <w:r w:rsidR="0099562D">
        <w:t xml:space="preserve">dessutom </w:t>
      </w:r>
      <w:r w:rsidR="00DB0407">
        <w:t xml:space="preserve">ersättning </w:t>
      </w:r>
      <w:r w:rsidR="0099562D">
        <w:t xml:space="preserve">till fristående förskolor </w:t>
      </w:r>
      <w:r w:rsidR="00B6708A">
        <w:t xml:space="preserve">enligt </w:t>
      </w:r>
      <w:r w:rsidR="00DB0407">
        <w:t>samma</w:t>
      </w:r>
      <w:r w:rsidR="00B6708A">
        <w:t xml:space="preserve"> principer som för motsvarande verksamhet i kommunal regi</w:t>
      </w:r>
      <w:r w:rsidR="00DB0407">
        <w:t xml:space="preserve">. </w:t>
      </w:r>
    </w:p>
    <w:p w:rsidR="00F138C7" w:rsidRPr="00F138C7" w:rsidRDefault="001565B7" w:rsidP="00640D76">
      <w:pPr>
        <w:pStyle w:val="Brdtext"/>
      </w:pPr>
      <w:r>
        <w:t>S</w:t>
      </w:r>
      <w:r w:rsidR="00F138C7">
        <w:t xml:space="preserve">trukturbelopp </w:t>
      </w:r>
      <w:r>
        <w:t xml:space="preserve">kan </w:t>
      </w:r>
      <w:r w:rsidR="00F138C7">
        <w:t>utgå</w:t>
      </w:r>
      <w:r>
        <w:t xml:space="preserve"> utöver grundbeloppet</w:t>
      </w:r>
      <w:r w:rsidR="00955A47">
        <w:t xml:space="preserve">. </w:t>
      </w:r>
      <w:r w:rsidR="00955A47" w:rsidRPr="00B6708A">
        <w:t xml:space="preserve">Förskolenämnden fastställer grundbelopp och nivå för strukturbelopp i nämndsbudget </w:t>
      </w:r>
      <w:r w:rsidR="00B6708A" w:rsidRPr="00B6708A">
        <w:t xml:space="preserve">varje år </w:t>
      </w:r>
      <w:r w:rsidR="00955A47" w:rsidRPr="00B6708A">
        <w:t>och beslutar samtidigt vilket belo</w:t>
      </w:r>
      <w:r w:rsidR="00DA32CD" w:rsidRPr="00B6708A">
        <w:t xml:space="preserve">pp i procent av det totala </w:t>
      </w:r>
      <w:r w:rsidR="00955A47" w:rsidRPr="00B6708A">
        <w:t xml:space="preserve">beloppet </w:t>
      </w:r>
      <w:r w:rsidR="00DA32CD" w:rsidRPr="00B6708A">
        <w:t xml:space="preserve">för ersättning till kommunala och fristående huvudmän </w:t>
      </w:r>
      <w:r w:rsidR="00955A47" w:rsidRPr="00B6708A">
        <w:t>som ska sättas av till struktur</w:t>
      </w:r>
      <w:r w:rsidR="00DA32CD" w:rsidRPr="00B6708A">
        <w:t>belopp</w:t>
      </w:r>
      <w:r w:rsidR="00955A47" w:rsidRPr="00B6708A">
        <w:t>.</w:t>
      </w:r>
      <w:r w:rsidR="00DA32CD">
        <w:t xml:space="preserve"> </w:t>
      </w:r>
      <w:r w:rsidR="00955A47">
        <w:t xml:space="preserve">  </w:t>
      </w:r>
      <w:r w:rsidR="00F138C7">
        <w:t xml:space="preserve"> </w:t>
      </w:r>
    </w:p>
    <w:p w:rsidR="00640D76" w:rsidRDefault="00640D76" w:rsidP="00640D76">
      <w:pPr>
        <w:pStyle w:val="Brdtext"/>
      </w:pPr>
      <w:r>
        <w:t>Utöver tilldelning av grundbelopp finns lagstöd för ti</w:t>
      </w:r>
      <w:r w:rsidR="007354B9">
        <w:t>lläggsbelopp som efter beslut</w:t>
      </w:r>
      <w:r>
        <w:t xml:space="preserve"> kan utgå till barn i behov av särskilt stöd. </w:t>
      </w:r>
    </w:p>
    <w:p w:rsidR="000A4C5F" w:rsidRPr="000A4C5F" w:rsidRDefault="000A4C5F" w:rsidP="000A4C5F">
      <w:pPr>
        <w:pStyle w:val="Rubrik2"/>
        <w:rPr>
          <w:color w:val="FF0000"/>
        </w:rPr>
      </w:pPr>
      <w:r w:rsidRPr="000A4C5F">
        <w:rPr>
          <w:color w:val="FF0000"/>
        </w:rPr>
        <w:t>Grundbelopp</w:t>
      </w:r>
    </w:p>
    <w:p w:rsidR="000A4C5F" w:rsidRPr="000A4C5F" w:rsidRDefault="000A4C5F" w:rsidP="000A4C5F">
      <w:pPr>
        <w:pStyle w:val="Brdtext"/>
        <w:rPr>
          <w:color w:val="FF0000"/>
        </w:rPr>
      </w:pPr>
      <w:r>
        <w:t xml:space="preserve">Huvuddelen av det belopp som fördelas per barn ska vara grundbelopp. Grundbeloppet ska ligga på en nivå som är så pass hög att en förskola som inte </w:t>
      </w:r>
      <w:r>
        <w:lastRenderedPageBreak/>
        <w:t xml:space="preserve">har rätt till strukturbelopp kan bedriva förskoleverksamhet </w:t>
      </w:r>
      <w:r w:rsidRPr="000A4C5F">
        <w:rPr>
          <w:color w:val="FF0000"/>
        </w:rPr>
        <w:t xml:space="preserve">med de krav som ställs. </w:t>
      </w:r>
    </w:p>
    <w:p w:rsidR="00712252" w:rsidRPr="00712252" w:rsidRDefault="0025708C" w:rsidP="000A4C5F">
      <w:pPr>
        <w:spacing w:line="259" w:lineRule="auto"/>
        <w:rPr>
          <w:color w:val="FF0000"/>
        </w:rPr>
      </w:pPr>
      <w:r>
        <w:t xml:space="preserve">Grundbeloppet </w:t>
      </w:r>
      <w:r w:rsidR="00712252">
        <w:t xml:space="preserve">utgör en resurs per barn utifrån ålder. </w:t>
      </w:r>
      <w:r w:rsidR="00712252" w:rsidRPr="00712252">
        <w:rPr>
          <w:color w:val="FF0000"/>
        </w:rPr>
        <w:t>Tilldelning sker utifrån åldersgrupperna 1 – 2 år och 3 - 5 år. Därutöver sker också tilldelning utifrån hur mycket barnet vistas i förskolan och det är den planerade vistelsetiden. Det sker utifrån f</w:t>
      </w:r>
      <w:r>
        <w:rPr>
          <w:color w:val="FF0000"/>
        </w:rPr>
        <w:t>öljande intervall: Upp till 15 h</w:t>
      </w:r>
      <w:r w:rsidR="00712252" w:rsidRPr="00712252">
        <w:rPr>
          <w:color w:val="FF0000"/>
        </w:rPr>
        <w:t xml:space="preserve">, 16 h-44 h och över 45 h. </w:t>
      </w:r>
    </w:p>
    <w:p w:rsidR="00712252" w:rsidRDefault="00712252" w:rsidP="000A4C5F">
      <w:pPr>
        <w:spacing w:line="259" w:lineRule="auto"/>
      </w:pPr>
    </w:p>
    <w:p w:rsidR="000A4C5F" w:rsidRPr="000A4C5F" w:rsidRDefault="000A4C5F" w:rsidP="000A4C5F">
      <w:pPr>
        <w:spacing w:line="259" w:lineRule="auto"/>
        <w:rPr>
          <w:rFonts w:eastAsia="Calibri"/>
          <w:color w:val="FF0000"/>
          <w:szCs w:val="24"/>
          <w:lang w:eastAsia="en-US"/>
        </w:rPr>
      </w:pPr>
      <w:r w:rsidRPr="000A4C5F">
        <w:rPr>
          <w:rFonts w:eastAsia="Calibri"/>
          <w:color w:val="FF0000"/>
          <w:szCs w:val="24"/>
          <w:lang w:eastAsia="en-US"/>
        </w:rPr>
        <w:t>Tilldelning sker utifrån följande:</w:t>
      </w:r>
    </w:p>
    <w:p w:rsidR="000A4C5F" w:rsidRPr="000A4C5F" w:rsidRDefault="000A4C5F" w:rsidP="000A4C5F">
      <w:pPr>
        <w:spacing w:line="259" w:lineRule="auto"/>
        <w:rPr>
          <w:rFonts w:eastAsia="Calibri"/>
          <w:color w:val="FF0000"/>
          <w:szCs w:val="24"/>
          <w:lang w:eastAsia="en-US"/>
        </w:rPr>
      </w:pPr>
      <w:r w:rsidRPr="000A4C5F">
        <w:rPr>
          <w:rFonts w:eastAsia="Calibri"/>
          <w:color w:val="FF0000"/>
          <w:szCs w:val="24"/>
          <w:lang w:eastAsia="en-US"/>
        </w:rPr>
        <w:t xml:space="preserve"> • Åldersindelning 1-2 år</w:t>
      </w:r>
    </w:p>
    <w:p w:rsidR="000A4C5F" w:rsidRPr="000A4C5F" w:rsidRDefault="000A4C5F" w:rsidP="000A4C5F">
      <w:pPr>
        <w:spacing w:line="259" w:lineRule="auto"/>
        <w:rPr>
          <w:rFonts w:eastAsia="Calibri"/>
          <w:color w:val="FF0000"/>
          <w:szCs w:val="24"/>
          <w:lang w:eastAsia="en-US"/>
        </w:rPr>
      </w:pPr>
      <w:r w:rsidRPr="000A4C5F">
        <w:rPr>
          <w:rFonts w:eastAsia="Calibri"/>
          <w:color w:val="FF0000"/>
          <w:szCs w:val="24"/>
          <w:lang w:eastAsia="en-US"/>
        </w:rPr>
        <w:t xml:space="preserve"> • Åldersindelning 3-5 år</w:t>
      </w:r>
    </w:p>
    <w:p w:rsidR="000A4C5F" w:rsidRPr="000A4C5F" w:rsidRDefault="000A4C5F" w:rsidP="000A4C5F">
      <w:pPr>
        <w:spacing w:line="259" w:lineRule="auto"/>
        <w:rPr>
          <w:rFonts w:eastAsia="Calibri"/>
          <w:color w:val="FF0000"/>
          <w:szCs w:val="24"/>
          <w:lang w:eastAsia="en-US"/>
        </w:rPr>
      </w:pPr>
    </w:p>
    <w:p w:rsidR="000A4C5F" w:rsidRPr="000A4C5F" w:rsidRDefault="000A4C5F" w:rsidP="000A4C5F">
      <w:pPr>
        <w:spacing w:line="259" w:lineRule="auto"/>
        <w:rPr>
          <w:rFonts w:eastAsia="Calibri"/>
          <w:color w:val="FF0000"/>
          <w:szCs w:val="24"/>
          <w:lang w:eastAsia="en-US"/>
        </w:rPr>
      </w:pPr>
      <w:r w:rsidRPr="000A4C5F">
        <w:rPr>
          <w:rFonts w:eastAsia="Calibri"/>
          <w:color w:val="FF0000"/>
          <w:szCs w:val="24"/>
          <w:lang w:eastAsia="en-US"/>
        </w:rPr>
        <w:t xml:space="preserve"> • Vistelsetid upp till </w:t>
      </w:r>
      <w:r w:rsidR="007A61C8">
        <w:rPr>
          <w:rFonts w:eastAsia="Calibri"/>
          <w:color w:val="FF0000"/>
          <w:szCs w:val="24"/>
          <w:lang w:eastAsia="en-US"/>
        </w:rPr>
        <w:t>15</w:t>
      </w:r>
      <w:r w:rsidRPr="000A4C5F">
        <w:rPr>
          <w:rFonts w:eastAsia="Calibri"/>
          <w:color w:val="FF0000"/>
          <w:szCs w:val="24"/>
          <w:lang w:eastAsia="en-US"/>
        </w:rPr>
        <w:t xml:space="preserve"> timmar</w:t>
      </w:r>
    </w:p>
    <w:p w:rsidR="000A4C5F" w:rsidRPr="000A4C5F" w:rsidRDefault="000A4C5F" w:rsidP="000A4C5F">
      <w:pPr>
        <w:spacing w:line="259" w:lineRule="auto"/>
        <w:rPr>
          <w:rFonts w:eastAsia="Calibri"/>
          <w:color w:val="FF0000"/>
          <w:szCs w:val="24"/>
          <w:lang w:eastAsia="en-US"/>
        </w:rPr>
      </w:pPr>
      <w:r w:rsidRPr="000A4C5F">
        <w:rPr>
          <w:rFonts w:eastAsia="Calibri"/>
          <w:color w:val="FF0000"/>
          <w:szCs w:val="24"/>
          <w:lang w:eastAsia="en-US"/>
        </w:rPr>
        <w:t xml:space="preserve"> • Vistelsetid mellan </w:t>
      </w:r>
      <w:r w:rsidR="004E750D">
        <w:rPr>
          <w:rFonts w:eastAsia="Calibri"/>
          <w:color w:val="FF0000"/>
          <w:szCs w:val="24"/>
          <w:lang w:eastAsia="en-US"/>
        </w:rPr>
        <w:t>16</w:t>
      </w:r>
      <w:r w:rsidR="007A61C8">
        <w:rPr>
          <w:rFonts w:eastAsia="Calibri"/>
          <w:color w:val="FF0000"/>
          <w:szCs w:val="24"/>
          <w:lang w:eastAsia="en-US"/>
        </w:rPr>
        <w:t xml:space="preserve"> </w:t>
      </w:r>
      <w:r w:rsidRPr="000A4C5F">
        <w:rPr>
          <w:rFonts w:eastAsia="Calibri"/>
          <w:color w:val="FF0000"/>
          <w:szCs w:val="24"/>
          <w:lang w:eastAsia="en-US"/>
        </w:rPr>
        <w:t xml:space="preserve">timmar upp till </w:t>
      </w:r>
      <w:r w:rsidR="004E750D">
        <w:rPr>
          <w:rFonts w:eastAsia="Calibri"/>
          <w:color w:val="FF0000"/>
          <w:szCs w:val="24"/>
          <w:lang w:eastAsia="en-US"/>
        </w:rPr>
        <w:t>44</w:t>
      </w:r>
      <w:r w:rsidRPr="000A4C5F">
        <w:rPr>
          <w:rFonts w:eastAsia="Calibri"/>
          <w:color w:val="FF0000"/>
          <w:szCs w:val="24"/>
          <w:lang w:eastAsia="en-US"/>
        </w:rPr>
        <w:t xml:space="preserve"> timmar</w:t>
      </w:r>
    </w:p>
    <w:p w:rsidR="000A4C5F" w:rsidRPr="000A4C5F" w:rsidRDefault="000A4C5F" w:rsidP="000A4C5F">
      <w:pPr>
        <w:spacing w:line="259" w:lineRule="auto"/>
        <w:rPr>
          <w:rFonts w:eastAsia="Calibri"/>
          <w:color w:val="FF0000"/>
          <w:szCs w:val="24"/>
          <w:lang w:eastAsia="en-US"/>
        </w:rPr>
      </w:pPr>
      <w:r w:rsidRPr="000A4C5F">
        <w:rPr>
          <w:rFonts w:eastAsia="Calibri"/>
          <w:color w:val="FF0000"/>
          <w:szCs w:val="24"/>
          <w:lang w:eastAsia="en-US"/>
        </w:rPr>
        <w:t xml:space="preserve"> • Vistelsetid över </w:t>
      </w:r>
      <w:r w:rsidR="007A61C8">
        <w:rPr>
          <w:rFonts w:eastAsia="Calibri"/>
          <w:color w:val="FF0000"/>
          <w:szCs w:val="24"/>
          <w:lang w:eastAsia="en-US"/>
        </w:rPr>
        <w:t xml:space="preserve">45 </w:t>
      </w:r>
      <w:r w:rsidRPr="000A4C5F">
        <w:rPr>
          <w:rFonts w:eastAsia="Calibri"/>
          <w:color w:val="FF0000"/>
          <w:szCs w:val="24"/>
          <w:lang w:eastAsia="en-US"/>
        </w:rPr>
        <w:t>timmar</w:t>
      </w:r>
    </w:p>
    <w:p w:rsidR="00BC31FC" w:rsidRDefault="00FC0787" w:rsidP="000A4C5F">
      <w:pPr>
        <w:pStyle w:val="Rubrik2"/>
      </w:pPr>
      <w:r>
        <w:t>Strukturbelopp</w:t>
      </w:r>
    </w:p>
    <w:p w:rsidR="00BE3069" w:rsidRDefault="00BE3069" w:rsidP="00BC31FC">
      <w:pPr>
        <w:pStyle w:val="Brdtext"/>
      </w:pPr>
      <w:r>
        <w:t xml:space="preserve">Strukturbeloppet ska vara en mindre andel av det </w:t>
      </w:r>
      <w:r w:rsidR="00630BCD">
        <w:t xml:space="preserve">totala </w:t>
      </w:r>
      <w:r>
        <w:t>belopp som fördelas per barn och syftar till att minska skillnader mellan barn</w:t>
      </w:r>
      <w:r w:rsidR="00050FF3">
        <w:t>s</w:t>
      </w:r>
      <w:r>
        <w:t xml:space="preserve"> förutsättningar. </w:t>
      </w:r>
    </w:p>
    <w:p w:rsidR="00BC31FC" w:rsidRDefault="009F3267" w:rsidP="00BC31FC">
      <w:pPr>
        <w:pStyle w:val="Brdtext"/>
      </w:pPr>
      <w:r w:rsidRPr="00630BCD">
        <w:t xml:space="preserve">Då </w:t>
      </w:r>
      <w:r w:rsidR="00630BCD">
        <w:t>Förskole</w:t>
      </w:r>
      <w:r w:rsidRPr="00630BCD">
        <w:t xml:space="preserve">nämnden har begränsade resurser </w:t>
      </w:r>
      <w:r w:rsidR="00630BCD" w:rsidRPr="00630BCD">
        <w:t>innebär högre strukturbelopp att grundbeloppet</w:t>
      </w:r>
      <w:r w:rsidRPr="00630BCD">
        <w:t xml:space="preserve"> sänks. </w:t>
      </w:r>
    </w:p>
    <w:p w:rsidR="00F05B65" w:rsidRDefault="00F05B65" w:rsidP="00F05B65">
      <w:pPr>
        <w:pStyle w:val="Brdtext"/>
      </w:pPr>
      <w:r>
        <w:t>Strukturbelopp fördelas till mindre enheter</w:t>
      </w:r>
      <w:r w:rsidRPr="000A4C5F">
        <w:rPr>
          <w:strike/>
          <w:color w:val="FF0000"/>
        </w:rPr>
        <w:t>, yngre barn</w:t>
      </w:r>
      <w:r w:rsidRPr="000A4C5F">
        <w:rPr>
          <w:color w:val="FF0000"/>
        </w:rPr>
        <w:t xml:space="preserve"> </w:t>
      </w:r>
      <w:r>
        <w:t xml:space="preserve">och socioekonomi. Efter att strukturbelopp för mindre enheter tilldelats, fördelas kvarvarande budget för strukturbelopp </w:t>
      </w:r>
      <w:r w:rsidRPr="000A4C5F">
        <w:rPr>
          <w:strike/>
          <w:color w:val="FF0000"/>
        </w:rPr>
        <w:t xml:space="preserve">för yngre barn och socioekonomi med 70 % till yngre barn och 30 % </w:t>
      </w:r>
      <w:r>
        <w:t xml:space="preserve">för socioekonomi. </w:t>
      </w:r>
    </w:p>
    <w:p w:rsidR="00683EA7" w:rsidRDefault="00683EA7" w:rsidP="00683EA7">
      <w:pPr>
        <w:pStyle w:val="Rubrik3"/>
      </w:pPr>
      <w:r>
        <w:t>Mindre enheter</w:t>
      </w:r>
    </w:p>
    <w:p w:rsidR="00683EA7" w:rsidRDefault="00406820" w:rsidP="00683EA7">
      <w:pPr>
        <w:pStyle w:val="Brdtext"/>
      </w:pPr>
      <w:r>
        <w:t>Strukturbelopp</w:t>
      </w:r>
      <w:r w:rsidR="00BE72F6">
        <w:t xml:space="preserve"> för mindre enheter till förskolor med upp till och med 25 barn, upp till och med 35 barn och upp till och med</w:t>
      </w:r>
      <w:r w:rsidR="00F05B65">
        <w:t xml:space="preserve"> 45 barn. Beloppet </w:t>
      </w:r>
      <w:r w:rsidR="00BE72F6">
        <w:t>betalas för att minska sårbarheten och underlätta bemanning vid öppning och stängning.</w:t>
      </w:r>
    </w:p>
    <w:p w:rsidR="00683EA7" w:rsidRPr="000A4C5F" w:rsidRDefault="00683EA7" w:rsidP="00683EA7">
      <w:pPr>
        <w:pStyle w:val="Rubrik3"/>
        <w:rPr>
          <w:strike/>
          <w:color w:val="FF0000"/>
        </w:rPr>
      </w:pPr>
      <w:r w:rsidRPr="000A4C5F">
        <w:rPr>
          <w:strike/>
          <w:color w:val="FF0000"/>
        </w:rPr>
        <w:t>Yngre barn</w:t>
      </w:r>
    </w:p>
    <w:p w:rsidR="00683EA7" w:rsidRDefault="00F05B65" w:rsidP="00683EA7">
      <w:pPr>
        <w:pStyle w:val="Brdtext"/>
      </w:pPr>
      <w:r w:rsidRPr="000A4C5F">
        <w:rPr>
          <w:strike/>
          <w:color w:val="FF0000"/>
        </w:rPr>
        <w:t>Strukturbelopp</w:t>
      </w:r>
      <w:r w:rsidR="00883F23" w:rsidRPr="000A4C5F">
        <w:rPr>
          <w:strike/>
          <w:color w:val="FF0000"/>
        </w:rPr>
        <w:t xml:space="preserve"> </w:t>
      </w:r>
      <w:r w:rsidRPr="000A4C5F">
        <w:rPr>
          <w:strike/>
          <w:color w:val="FF0000"/>
        </w:rPr>
        <w:t xml:space="preserve">utgår </w:t>
      </w:r>
      <w:r w:rsidR="00883F23" w:rsidRPr="000A4C5F">
        <w:rPr>
          <w:strike/>
          <w:color w:val="FF0000"/>
        </w:rPr>
        <w:t xml:space="preserve">för </w:t>
      </w:r>
      <w:r w:rsidRPr="000A4C5F">
        <w:rPr>
          <w:strike/>
          <w:color w:val="FF0000"/>
        </w:rPr>
        <w:t xml:space="preserve">yngre </w:t>
      </w:r>
      <w:r w:rsidR="00883F23" w:rsidRPr="000A4C5F">
        <w:rPr>
          <w:strike/>
          <w:color w:val="FF0000"/>
        </w:rPr>
        <w:t xml:space="preserve">barn fram till och med det år barnet fyller 2 år. </w:t>
      </w:r>
      <w:r w:rsidRPr="000A4C5F">
        <w:rPr>
          <w:strike/>
          <w:color w:val="FF0000"/>
        </w:rPr>
        <w:t>Struktur</w:t>
      </w:r>
      <w:r w:rsidR="00883F23" w:rsidRPr="000A4C5F">
        <w:rPr>
          <w:strike/>
          <w:color w:val="FF0000"/>
        </w:rPr>
        <w:t>beloppet</w:t>
      </w:r>
      <w:r w:rsidRPr="000A4C5F">
        <w:rPr>
          <w:strike/>
          <w:color w:val="FF0000"/>
        </w:rPr>
        <w:t xml:space="preserve"> fördelas</w:t>
      </w:r>
      <w:r w:rsidR="00883F23" w:rsidRPr="000A4C5F">
        <w:rPr>
          <w:strike/>
          <w:color w:val="FF0000"/>
        </w:rPr>
        <w:t xml:space="preserve"> i form av ett belopp per barn. </w:t>
      </w:r>
    </w:p>
    <w:p w:rsidR="00683EA7" w:rsidRDefault="00683EA7" w:rsidP="00683EA7">
      <w:pPr>
        <w:pStyle w:val="Rubrik3"/>
      </w:pPr>
      <w:r>
        <w:t>Socioekonomi</w:t>
      </w:r>
    </w:p>
    <w:p w:rsidR="00683EA7" w:rsidRDefault="00F05B65" w:rsidP="00683EA7">
      <w:pPr>
        <w:pStyle w:val="Brdtext"/>
      </w:pPr>
      <w:r>
        <w:t>Socioekonomisk</w:t>
      </w:r>
      <w:r w:rsidR="00BE1978">
        <w:t xml:space="preserve"> </w:t>
      </w:r>
      <w:r>
        <w:t>fördelning utgår enligt nedan variabler, d</w:t>
      </w:r>
      <w:r w:rsidR="00DD0C60">
        <w:t xml:space="preserve">en översta viktas högst och de följande viktas i fallande ordning: </w:t>
      </w:r>
    </w:p>
    <w:p w:rsidR="00DD0C60" w:rsidRDefault="00DD0C60" w:rsidP="00DD0C60">
      <w:pPr>
        <w:pStyle w:val="Brdtext"/>
        <w:numPr>
          <w:ilvl w:val="0"/>
          <w:numId w:val="11"/>
        </w:numPr>
      </w:pPr>
      <w:r>
        <w:t>Invandring, 0-2 år sedan</w:t>
      </w:r>
    </w:p>
    <w:p w:rsidR="00DD0C60" w:rsidRDefault="00DD0C60" w:rsidP="00DD0C60">
      <w:pPr>
        <w:pStyle w:val="Brdtext"/>
        <w:numPr>
          <w:ilvl w:val="0"/>
          <w:numId w:val="11"/>
        </w:numPr>
      </w:pPr>
      <w:r>
        <w:t xml:space="preserve">Högsta utbildning för vårdnadshavare, förgymnasial </w:t>
      </w:r>
    </w:p>
    <w:p w:rsidR="00DD0C60" w:rsidRDefault="00DD0C60" w:rsidP="00DD0C60">
      <w:pPr>
        <w:pStyle w:val="Brdtext"/>
        <w:numPr>
          <w:ilvl w:val="0"/>
          <w:numId w:val="11"/>
        </w:numPr>
      </w:pPr>
      <w:r>
        <w:t>Invandring, 3-6 år sedan</w:t>
      </w:r>
    </w:p>
    <w:p w:rsidR="00DD0C60" w:rsidRDefault="00DD0C60" w:rsidP="00DD0C60">
      <w:pPr>
        <w:pStyle w:val="Brdtext"/>
        <w:numPr>
          <w:ilvl w:val="0"/>
          <w:numId w:val="11"/>
        </w:numPr>
      </w:pPr>
      <w:r>
        <w:t>Högsta utbildning för vårdnadshavare, gymnasial</w:t>
      </w:r>
    </w:p>
    <w:p w:rsidR="00DD0C60" w:rsidRDefault="00DD0C60" w:rsidP="00DD0C60">
      <w:pPr>
        <w:pStyle w:val="Brdtext"/>
        <w:numPr>
          <w:ilvl w:val="0"/>
          <w:numId w:val="11"/>
        </w:numPr>
      </w:pPr>
      <w:r>
        <w:t xml:space="preserve">Ekonomiskt bistånd, någon av vårdnadshavarna </w:t>
      </w:r>
    </w:p>
    <w:p w:rsidR="00DD0C60" w:rsidRDefault="00DD0C60" w:rsidP="00DD0C60">
      <w:pPr>
        <w:pStyle w:val="Brdtext"/>
        <w:numPr>
          <w:ilvl w:val="0"/>
          <w:numId w:val="11"/>
        </w:numPr>
      </w:pPr>
      <w:r>
        <w:t xml:space="preserve">Familj, bor inte med båda vårdnadshavarna </w:t>
      </w:r>
    </w:p>
    <w:p w:rsidR="00DD0C60" w:rsidRDefault="00DD0C60" w:rsidP="00DD0C60">
      <w:pPr>
        <w:pStyle w:val="Brdtext"/>
        <w:numPr>
          <w:ilvl w:val="0"/>
          <w:numId w:val="11"/>
        </w:numPr>
      </w:pPr>
      <w:r>
        <w:lastRenderedPageBreak/>
        <w:t xml:space="preserve">Kön, pojkar </w:t>
      </w:r>
    </w:p>
    <w:p w:rsidR="00DD0C60" w:rsidRPr="00683EA7" w:rsidRDefault="000A4853" w:rsidP="00DD0C60">
      <w:pPr>
        <w:pStyle w:val="Brdtext"/>
      </w:pPr>
      <w:r>
        <w:t>S</w:t>
      </w:r>
      <w:r w:rsidR="00F05B65">
        <w:t>truktur</w:t>
      </w:r>
      <w:r w:rsidR="00DD0C60">
        <w:t xml:space="preserve">beloppet </w:t>
      </w:r>
      <w:r>
        <w:t xml:space="preserve">fördelas </w:t>
      </w:r>
      <w:r w:rsidR="00DD0C60">
        <w:t xml:space="preserve">till förskolor med ett index över Sverigesnitt som ett belopp per barn. Ett högre index genererar ett högre belopp per barn. </w:t>
      </w:r>
      <w:r w:rsidR="00163805">
        <w:t>Ett index erhålls från SCB under våren inför kommande budgetår och styr fördelningen av strukturbelopp för kommande år</w:t>
      </w:r>
      <w:r w:rsidR="00065D21">
        <w:t>et</w:t>
      </w:r>
      <w:r w:rsidR="00163805">
        <w:t>. Fördelningen av</w:t>
      </w:r>
      <w:r w:rsidR="00065D21">
        <w:t xml:space="preserve"> strukturbelopp räknas fram</w:t>
      </w:r>
      <w:r w:rsidR="00620092">
        <w:t xml:space="preserve"> på individ</w:t>
      </w:r>
      <w:r w:rsidR="00163805">
        <w:t>nivå och innebär att beloppet f</w:t>
      </w:r>
      <w:r w:rsidR="00620092">
        <w:t>ördelas efter det faktiska barn</w:t>
      </w:r>
      <w:r w:rsidR="00163805">
        <w:t xml:space="preserve">underlag som finns på enheten under våren året innan. </w:t>
      </w:r>
    </w:p>
    <w:p w:rsidR="00BC31FC" w:rsidRDefault="00FC0787" w:rsidP="00FC0787">
      <w:pPr>
        <w:pStyle w:val="Rubrik2"/>
      </w:pPr>
      <w:r>
        <w:t>Ersättning för lokalkostnader</w:t>
      </w:r>
    </w:p>
    <w:p w:rsidR="00BC31FC" w:rsidRDefault="00C10266" w:rsidP="00BC31FC">
      <w:pPr>
        <w:pStyle w:val="Brdtext"/>
      </w:pPr>
      <w:r>
        <w:t>Ersättning för lokalkostnader sker per barn som en del av grundb</w:t>
      </w:r>
      <w:r w:rsidR="00620092">
        <w:t>eloppet. Fristående förskolor</w:t>
      </w:r>
      <w:r>
        <w:t xml:space="preserve"> erhåller den genomsnittliga kommunala hyreskostnaden per barn och kalenderår.</w:t>
      </w:r>
      <w:r w:rsidR="00065D21">
        <w:t xml:space="preserve"> </w:t>
      </w:r>
    </w:p>
    <w:p w:rsidR="00FC0787" w:rsidRDefault="00683EA7" w:rsidP="00FC0787">
      <w:pPr>
        <w:pStyle w:val="Rubrik2"/>
      </w:pPr>
      <w:r>
        <w:t>Administrationsschablon</w:t>
      </w:r>
    </w:p>
    <w:p w:rsidR="00683EA7" w:rsidRDefault="00B47865" w:rsidP="00683EA7">
      <w:pPr>
        <w:pStyle w:val="Brdtext"/>
      </w:pPr>
      <w:r>
        <w:t xml:space="preserve">Administrativa kostnader till fristående </w:t>
      </w:r>
      <w:r w:rsidR="00912671">
        <w:t xml:space="preserve">förskolor </w:t>
      </w:r>
      <w:r>
        <w:t xml:space="preserve">ersätts med en schablon på grundbeloppet med 3 % </w:t>
      </w:r>
      <w:r w:rsidR="00DB0407">
        <w:t>enligt Skolförordning (2011:185)</w:t>
      </w:r>
      <w:r>
        <w:t xml:space="preserve">. </w:t>
      </w:r>
    </w:p>
    <w:p w:rsidR="00B47865" w:rsidRDefault="00B47865" w:rsidP="00B47865">
      <w:pPr>
        <w:pStyle w:val="Rubrik2"/>
      </w:pPr>
      <w:r>
        <w:t xml:space="preserve">Ersättning för mervärdesskatt </w:t>
      </w:r>
    </w:p>
    <w:p w:rsidR="00B47865" w:rsidRPr="00B47865" w:rsidRDefault="00B47865" w:rsidP="00B47865">
      <w:pPr>
        <w:pStyle w:val="Brdtext"/>
      </w:pPr>
      <w:r>
        <w:t xml:space="preserve">För de fristående </w:t>
      </w:r>
      <w:r w:rsidR="00912671">
        <w:t>förskolorna</w:t>
      </w:r>
      <w:r>
        <w:t xml:space="preserve"> tillkommer en ersättning på det totala bidragsbeloppet med en schablonersättning om 6 % som kompensation för mervärdesskatt</w:t>
      </w:r>
      <w:r w:rsidR="00DB0407">
        <w:t xml:space="preserve"> enligt Skolförordning (2011:185)</w:t>
      </w:r>
      <w:r>
        <w:t xml:space="preserve">. </w:t>
      </w:r>
    </w:p>
    <w:p w:rsidR="00683EA7" w:rsidRDefault="00683EA7" w:rsidP="00683EA7">
      <w:pPr>
        <w:pStyle w:val="Rubrik2"/>
      </w:pPr>
      <w:r>
        <w:t xml:space="preserve">Avstämning </w:t>
      </w:r>
    </w:p>
    <w:p w:rsidR="00683EA7" w:rsidRPr="00683EA7" w:rsidRDefault="00081057" w:rsidP="00683EA7">
      <w:pPr>
        <w:pStyle w:val="Brdtext"/>
      </w:pPr>
      <w:r>
        <w:t>V</w:t>
      </w:r>
      <w:r w:rsidR="001935FE">
        <w:t xml:space="preserve">arje månad sker en avläsning av alla inskrivna barn och ersättning i form av grundbelopp och strukturbelopp beräknas därefter. </w:t>
      </w:r>
    </w:p>
    <w:p w:rsidR="00683EA7" w:rsidRDefault="00683EA7" w:rsidP="00683EA7">
      <w:pPr>
        <w:pStyle w:val="Rubrik2"/>
      </w:pPr>
      <w:r>
        <w:t>Utbetalning av ersättning</w:t>
      </w:r>
      <w:r w:rsidR="00936C28">
        <w:t xml:space="preserve"> och avräkning</w:t>
      </w:r>
    </w:p>
    <w:p w:rsidR="00081057" w:rsidRDefault="00936C28" w:rsidP="00683EA7">
      <w:pPr>
        <w:pStyle w:val="Brdtext"/>
      </w:pPr>
      <w:r>
        <w:t>Ersättning i form av grundbelopp och strukturbelopp betalas ut måna</w:t>
      </w:r>
      <w:r w:rsidR="00081057">
        <w:t>tligen</w:t>
      </w:r>
      <w:r w:rsidR="00912671">
        <w:t xml:space="preserve"> till fristående förskolor</w:t>
      </w:r>
      <w:r>
        <w:t xml:space="preserve">. </w:t>
      </w:r>
    </w:p>
    <w:p w:rsidR="00683EA7" w:rsidRDefault="00936C28" w:rsidP="00683EA7">
      <w:pPr>
        <w:pStyle w:val="Brdtext"/>
      </w:pPr>
      <w:r>
        <w:t xml:space="preserve">För kommunala enheter görs en avräkning varje månad och eventuella budgetjusteringar hanteras därefter. </w:t>
      </w:r>
    </w:p>
    <w:p w:rsidR="008114F4" w:rsidRDefault="008114F4" w:rsidP="008114F4">
      <w:pPr>
        <w:pStyle w:val="Rubrik2"/>
      </w:pPr>
      <w:r>
        <w:t>Utvärdering</w:t>
      </w:r>
    </w:p>
    <w:p w:rsidR="008114F4" w:rsidRPr="008114F4" w:rsidRDefault="00BE4F58" w:rsidP="008114F4">
      <w:pPr>
        <w:pStyle w:val="Brdtext"/>
      </w:pPr>
      <w:r>
        <w:t>Efter ett år, under våren 2021, kommer resursfördelningsmodellen att utvärderas. Nytt beslut kring resursfördelningsmodellen tas under 2021 med eventuella justeringar och gäller då från och med budgetåret 2022.</w:t>
      </w:r>
    </w:p>
    <w:p w:rsidR="00683EA7" w:rsidRPr="00683EA7" w:rsidRDefault="00683EA7" w:rsidP="00683EA7">
      <w:pPr>
        <w:pStyle w:val="Brdtext"/>
      </w:pPr>
    </w:p>
    <w:p w:rsidR="00BC31FC" w:rsidRPr="00BC31FC" w:rsidRDefault="00BC31FC" w:rsidP="00BC31FC">
      <w:pPr>
        <w:pStyle w:val="Brdtext"/>
      </w:pPr>
    </w:p>
    <w:p w:rsidR="00BC31FC" w:rsidRDefault="00BC31FC" w:rsidP="006A489D">
      <w:pPr>
        <w:pStyle w:val="Brdtext"/>
      </w:pPr>
    </w:p>
    <w:p w:rsidR="00D35220" w:rsidRPr="00BC31FC" w:rsidRDefault="00D35220" w:rsidP="006A489D">
      <w:pPr>
        <w:pStyle w:val="Brdtext"/>
      </w:pPr>
    </w:p>
    <w:p w:rsidR="00FC0363" w:rsidRPr="00BC31FC" w:rsidRDefault="00FC0363" w:rsidP="00BC31FC">
      <w:pPr>
        <w:spacing w:line="240" w:lineRule="auto"/>
      </w:pPr>
    </w:p>
    <w:sectPr w:rsidR="00FC0363" w:rsidRPr="00BC31FC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04" w:rsidRDefault="004F5604" w:rsidP="00A80039">
      <w:pPr>
        <w:pStyle w:val="Tabellinnehll"/>
      </w:pPr>
      <w:r>
        <w:separator/>
      </w:r>
    </w:p>
  </w:endnote>
  <w:endnote w:type="continuationSeparator" w:id="0">
    <w:p w:rsidR="004F5604" w:rsidRDefault="004F560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B4" w:rsidRDefault="008A29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  <w:p w:rsidR="004E750D" w:rsidRDefault="004E750D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p w:rsidR="00A45E64" w:rsidRDefault="00A45E64" w:rsidP="0092549B">
    <w:pPr>
      <w:pStyle w:val="Sidfot"/>
      <w:rPr>
        <w:sz w:val="6"/>
      </w:rPr>
    </w:pPr>
  </w:p>
  <w:p w:rsidR="004E750D" w:rsidRDefault="004E750D" w:rsidP="0092549B">
    <w:pPr>
      <w:pStyle w:val="Sidfot"/>
      <w:rPr>
        <w:sz w:val="6"/>
      </w:rPr>
    </w:pPr>
  </w:p>
  <w:p w:rsidR="004E750D" w:rsidRDefault="004E750D" w:rsidP="0092549B">
    <w:pPr>
      <w:pStyle w:val="Sidfot"/>
      <w:rPr>
        <w:sz w:val="6"/>
      </w:rPr>
    </w:pPr>
  </w:p>
  <w:p w:rsidR="004E750D" w:rsidRDefault="004E750D" w:rsidP="0092549B">
    <w:pPr>
      <w:pStyle w:val="Sidfot"/>
      <w:rPr>
        <w:sz w:val="6"/>
      </w:rPr>
    </w:pPr>
  </w:p>
  <w:p w:rsidR="004E750D" w:rsidRDefault="004E750D" w:rsidP="0092549B">
    <w:pPr>
      <w:pStyle w:val="Sidfot"/>
      <w:rPr>
        <w:sz w:val="6"/>
      </w:rPr>
    </w:pPr>
  </w:p>
  <w:p w:rsidR="004E750D" w:rsidRDefault="004E750D" w:rsidP="0092549B">
    <w:pPr>
      <w:pStyle w:val="Sidfot"/>
      <w:rPr>
        <w:sz w:val="6"/>
      </w:rPr>
    </w:pPr>
  </w:p>
  <w:p w:rsidR="004E750D" w:rsidRDefault="004E750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04" w:rsidRDefault="004F5604" w:rsidP="00A80039">
      <w:pPr>
        <w:pStyle w:val="Tabellinnehll"/>
      </w:pPr>
      <w:r>
        <w:separator/>
      </w:r>
    </w:p>
  </w:footnote>
  <w:footnote w:type="continuationSeparator" w:id="0">
    <w:p w:rsidR="004F5604" w:rsidRDefault="004F560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B4" w:rsidRDefault="008A29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BC31FC" w:rsidP="005D7923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011CADC3A5ED4272963A713BE297BCE2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BC31FC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8A66D6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7CBBE0F8D1834C658AE32BB6433BD8EE"/>
              </w:placeholder>
              <w:dataBinding w:prefixMappings="" w:xpath="/FORMsoft[1]/OurDate[1]" w:storeItemID="{0C51AE3A-97AB-4E59-8CBD-BD8F06016390}"/>
              <w:date w:fullDate="2019-06-03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4E750D">
                <w:t>2019-06-03</w:t>
              </w:r>
            </w:sdtContent>
          </w:sdt>
        </w:p>
      </w:tc>
      <w:tc>
        <w:tcPr>
          <w:tcW w:w="1956" w:type="dxa"/>
        </w:tcPr>
        <w:sdt>
          <w:sdtPr>
            <w:alias w:val="Referens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Referens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1E0EDC" w:rsidRDefault="00BC31FC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8A66D6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317D9B">
            <w:rPr>
              <w:noProof/>
            </w:rPr>
            <w:fldChar w:fldCharType="begin"/>
          </w:r>
          <w:r w:rsidR="00317D9B">
            <w:rPr>
              <w:noProof/>
            </w:rPr>
            <w:instrText xml:space="preserve"> NUMPAGES </w:instrText>
          </w:r>
          <w:r w:rsidR="00317D9B">
            <w:rPr>
              <w:noProof/>
            </w:rPr>
            <w:fldChar w:fldCharType="separate"/>
          </w:r>
          <w:r w:rsidR="008A66D6">
            <w:rPr>
              <w:noProof/>
            </w:rPr>
            <w:t>3</w:t>
          </w:r>
          <w:r w:rsidR="00317D9B"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B4" w:rsidRPr="008A29B4" w:rsidRDefault="008A29B4" w:rsidP="008A29B4">
    <w:pPr>
      <w:tabs>
        <w:tab w:val="center" w:pos="4536"/>
        <w:tab w:val="right" w:pos="9072"/>
      </w:tabs>
      <w:spacing w:after="60" w:line="240" w:lineRule="auto"/>
      <w:ind w:right="-795"/>
      <w:jc w:val="right"/>
      <w:rPr>
        <w:rFonts w:ascii="Arial" w:hAnsi="Arial"/>
        <w:sz w:val="2"/>
      </w:rPr>
    </w:pPr>
    <w:r>
      <w:rPr>
        <w:rFonts w:ascii="Arial" w:hAnsi="Arial" w:cs="Arial"/>
        <w:sz w:val="48"/>
        <w:szCs w:val="48"/>
        <w:bdr w:val="single" w:sz="4" w:space="0" w:color="auto"/>
      </w:rPr>
      <w:t>E</w:t>
    </w:r>
    <w:r w:rsidRPr="008A29B4">
      <w:rPr>
        <w:rFonts w:ascii="Arial" w:hAnsi="Arial" w:cs="Arial"/>
        <w:sz w:val="48"/>
        <w:szCs w:val="48"/>
        <w:bdr w:val="single" w:sz="4" w:space="0" w:color="auto"/>
      </w:rPr>
      <w:t>1</w:t>
    </w:r>
  </w:p>
  <w:p w:rsidR="008A29B4" w:rsidRDefault="008A29B4">
    <w:pPr>
      <w:pStyle w:val="Sidhuvud"/>
    </w:pP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634CAA"/>
    <w:multiLevelType w:val="hybridMultilevel"/>
    <w:tmpl w:val="BE66C5E6"/>
    <w:lvl w:ilvl="0" w:tplc="CD9C67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 under redigering" w:val="1"/>
    <w:docVar w:name="DokumentArkiv_DokId" w:val="57746"/>
    <w:docVar w:name="DokumentArkiv_DokTyp" w:val="A"/>
    <w:docVar w:name="DokumentArkiv_FamId" w:val="257653"/>
    <w:docVar w:name="DokumentArkiv_FileName" w:val="Förslag Resursfördelningsmodell kommunala .docx"/>
    <w:docVar w:name="DokumentArkiv_guid" w:val="51c5fb02-b8ac-4eb0-a961-10c630c216bd"/>
    <w:docVar w:name="DokumentArkiv_OrigPath" w:val="C:\Users\JG601\Downloads"/>
    <w:docVar w:name="HTTPadressSkrivhandbok" w:val="https://intranet.boras.se/4.608b346815c5cdb9a841126c.html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BC31FC"/>
    <w:rsid w:val="000022F5"/>
    <w:rsid w:val="0000633C"/>
    <w:rsid w:val="0001060E"/>
    <w:rsid w:val="000116E9"/>
    <w:rsid w:val="00011A60"/>
    <w:rsid w:val="0001491E"/>
    <w:rsid w:val="00017298"/>
    <w:rsid w:val="00024FE7"/>
    <w:rsid w:val="000251F1"/>
    <w:rsid w:val="0002645A"/>
    <w:rsid w:val="000277D0"/>
    <w:rsid w:val="00035ADD"/>
    <w:rsid w:val="00036CCD"/>
    <w:rsid w:val="00037330"/>
    <w:rsid w:val="000378E0"/>
    <w:rsid w:val="00037F70"/>
    <w:rsid w:val="00040DC3"/>
    <w:rsid w:val="00040E2E"/>
    <w:rsid w:val="00041988"/>
    <w:rsid w:val="00044C23"/>
    <w:rsid w:val="00050FF3"/>
    <w:rsid w:val="00051634"/>
    <w:rsid w:val="00055670"/>
    <w:rsid w:val="000568A6"/>
    <w:rsid w:val="00056BE6"/>
    <w:rsid w:val="00065D21"/>
    <w:rsid w:val="00072CE9"/>
    <w:rsid w:val="00072D69"/>
    <w:rsid w:val="00077B6C"/>
    <w:rsid w:val="00081057"/>
    <w:rsid w:val="00083B28"/>
    <w:rsid w:val="000875A0"/>
    <w:rsid w:val="00091E15"/>
    <w:rsid w:val="00092921"/>
    <w:rsid w:val="000968E0"/>
    <w:rsid w:val="000970A6"/>
    <w:rsid w:val="00097F62"/>
    <w:rsid w:val="000A408D"/>
    <w:rsid w:val="000A4519"/>
    <w:rsid w:val="000A4853"/>
    <w:rsid w:val="000A4C5F"/>
    <w:rsid w:val="000A6228"/>
    <w:rsid w:val="000B01C0"/>
    <w:rsid w:val="000B4DB5"/>
    <w:rsid w:val="000B66D9"/>
    <w:rsid w:val="000C0782"/>
    <w:rsid w:val="000C1A39"/>
    <w:rsid w:val="000C45D0"/>
    <w:rsid w:val="000C5416"/>
    <w:rsid w:val="000C76CD"/>
    <w:rsid w:val="000C7FE5"/>
    <w:rsid w:val="000D0EB6"/>
    <w:rsid w:val="000D3F5F"/>
    <w:rsid w:val="000D44AB"/>
    <w:rsid w:val="000D6CC4"/>
    <w:rsid w:val="000D7DAC"/>
    <w:rsid w:val="000E2CFA"/>
    <w:rsid w:val="000E53B9"/>
    <w:rsid w:val="000F4FD2"/>
    <w:rsid w:val="000F6D18"/>
    <w:rsid w:val="00102297"/>
    <w:rsid w:val="00102876"/>
    <w:rsid w:val="00104394"/>
    <w:rsid w:val="00121EEC"/>
    <w:rsid w:val="00122D7C"/>
    <w:rsid w:val="00132049"/>
    <w:rsid w:val="00134155"/>
    <w:rsid w:val="00137E34"/>
    <w:rsid w:val="00143DBA"/>
    <w:rsid w:val="00144939"/>
    <w:rsid w:val="00150C81"/>
    <w:rsid w:val="00154706"/>
    <w:rsid w:val="00155C5D"/>
    <w:rsid w:val="001565B7"/>
    <w:rsid w:val="00160519"/>
    <w:rsid w:val="00161D7E"/>
    <w:rsid w:val="00163805"/>
    <w:rsid w:val="00164912"/>
    <w:rsid w:val="00165ED0"/>
    <w:rsid w:val="0016659D"/>
    <w:rsid w:val="0017281E"/>
    <w:rsid w:val="00172E54"/>
    <w:rsid w:val="00173CB4"/>
    <w:rsid w:val="001755AB"/>
    <w:rsid w:val="00176131"/>
    <w:rsid w:val="00176B21"/>
    <w:rsid w:val="00177D94"/>
    <w:rsid w:val="0018103C"/>
    <w:rsid w:val="00184BA5"/>
    <w:rsid w:val="001854DC"/>
    <w:rsid w:val="00185884"/>
    <w:rsid w:val="00192CDE"/>
    <w:rsid w:val="00192DB8"/>
    <w:rsid w:val="001934FE"/>
    <w:rsid w:val="001935FE"/>
    <w:rsid w:val="0019734A"/>
    <w:rsid w:val="0019769E"/>
    <w:rsid w:val="001A4B9D"/>
    <w:rsid w:val="001A5E75"/>
    <w:rsid w:val="001A7347"/>
    <w:rsid w:val="001B089C"/>
    <w:rsid w:val="001B2ED5"/>
    <w:rsid w:val="001B398A"/>
    <w:rsid w:val="001B3DDB"/>
    <w:rsid w:val="001B7262"/>
    <w:rsid w:val="001C407C"/>
    <w:rsid w:val="001C4275"/>
    <w:rsid w:val="001C5836"/>
    <w:rsid w:val="001C69E2"/>
    <w:rsid w:val="001D07EB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27A01"/>
    <w:rsid w:val="00237D57"/>
    <w:rsid w:val="002443BC"/>
    <w:rsid w:val="00246CAA"/>
    <w:rsid w:val="00247A3B"/>
    <w:rsid w:val="002502F5"/>
    <w:rsid w:val="002504DF"/>
    <w:rsid w:val="0025457F"/>
    <w:rsid w:val="00256083"/>
    <w:rsid w:val="0025708C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3F0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1B01"/>
    <w:rsid w:val="002D23CD"/>
    <w:rsid w:val="002D245C"/>
    <w:rsid w:val="002D2C68"/>
    <w:rsid w:val="002D42F4"/>
    <w:rsid w:val="002D482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5389"/>
    <w:rsid w:val="002F67BE"/>
    <w:rsid w:val="00301187"/>
    <w:rsid w:val="0030358B"/>
    <w:rsid w:val="00303965"/>
    <w:rsid w:val="00307D08"/>
    <w:rsid w:val="00310BB1"/>
    <w:rsid w:val="0031139E"/>
    <w:rsid w:val="00312B2B"/>
    <w:rsid w:val="00313882"/>
    <w:rsid w:val="00317D9B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1D54"/>
    <w:rsid w:val="0036682C"/>
    <w:rsid w:val="00366D7F"/>
    <w:rsid w:val="003708E9"/>
    <w:rsid w:val="00372BE4"/>
    <w:rsid w:val="00373948"/>
    <w:rsid w:val="00373CFA"/>
    <w:rsid w:val="003756D8"/>
    <w:rsid w:val="00376FCB"/>
    <w:rsid w:val="00385AA8"/>
    <w:rsid w:val="00387485"/>
    <w:rsid w:val="00387990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3F6734"/>
    <w:rsid w:val="00400EE8"/>
    <w:rsid w:val="00401F39"/>
    <w:rsid w:val="0040232C"/>
    <w:rsid w:val="00402BFE"/>
    <w:rsid w:val="00406820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6F5E"/>
    <w:rsid w:val="004472AB"/>
    <w:rsid w:val="00447386"/>
    <w:rsid w:val="00451495"/>
    <w:rsid w:val="004515F3"/>
    <w:rsid w:val="00451DF9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34D9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39B2"/>
    <w:rsid w:val="004B67CA"/>
    <w:rsid w:val="004B68F2"/>
    <w:rsid w:val="004C1BAF"/>
    <w:rsid w:val="004C2A94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50D"/>
    <w:rsid w:val="004E7E8B"/>
    <w:rsid w:val="004F2F67"/>
    <w:rsid w:val="004F5604"/>
    <w:rsid w:val="004F6B81"/>
    <w:rsid w:val="0050121B"/>
    <w:rsid w:val="00501FBA"/>
    <w:rsid w:val="00503955"/>
    <w:rsid w:val="00505EDD"/>
    <w:rsid w:val="005100FF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66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400F"/>
    <w:rsid w:val="005C32A0"/>
    <w:rsid w:val="005C6B90"/>
    <w:rsid w:val="005C7526"/>
    <w:rsid w:val="005D37F2"/>
    <w:rsid w:val="005D6C2F"/>
    <w:rsid w:val="005D7319"/>
    <w:rsid w:val="005D7923"/>
    <w:rsid w:val="005E2359"/>
    <w:rsid w:val="005F12BA"/>
    <w:rsid w:val="005F22F0"/>
    <w:rsid w:val="005F2B8E"/>
    <w:rsid w:val="006005A7"/>
    <w:rsid w:val="00600CC4"/>
    <w:rsid w:val="00601420"/>
    <w:rsid w:val="0060344C"/>
    <w:rsid w:val="00607E6D"/>
    <w:rsid w:val="00620092"/>
    <w:rsid w:val="006208E8"/>
    <w:rsid w:val="00620E4B"/>
    <w:rsid w:val="00622A85"/>
    <w:rsid w:val="00623485"/>
    <w:rsid w:val="0063013E"/>
    <w:rsid w:val="00630BCD"/>
    <w:rsid w:val="006329CF"/>
    <w:rsid w:val="006370C1"/>
    <w:rsid w:val="00640885"/>
    <w:rsid w:val="00640D76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8B8"/>
    <w:rsid w:val="00672ACE"/>
    <w:rsid w:val="00680882"/>
    <w:rsid w:val="0068197C"/>
    <w:rsid w:val="00683EA7"/>
    <w:rsid w:val="00685034"/>
    <w:rsid w:val="006879DD"/>
    <w:rsid w:val="006921FE"/>
    <w:rsid w:val="00694CE2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83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2FC4"/>
    <w:rsid w:val="006F461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252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54B9"/>
    <w:rsid w:val="00737FB8"/>
    <w:rsid w:val="00752292"/>
    <w:rsid w:val="007528EB"/>
    <w:rsid w:val="007608F2"/>
    <w:rsid w:val="00763AA7"/>
    <w:rsid w:val="0076530B"/>
    <w:rsid w:val="00771BFD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4A3C"/>
    <w:rsid w:val="007A5216"/>
    <w:rsid w:val="007A61C8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14F4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3F23"/>
    <w:rsid w:val="00886424"/>
    <w:rsid w:val="00886936"/>
    <w:rsid w:val="00887F1F"/>
    <w:rsid w:val="00894D60"/>
    <w:rsid w:val="00895155"/>
    <w:rsid w:val="008A0C5B"/>
    <w:rsid w:val="008A208D"/>
    <w:rsid w:val="008A29B4"/>
    <w:rsid w:val="008A66D6"/>
    <w:rsid w:val="008A7DF0"/>
    <w:rsid w:val="008B02FF"/>
    <w:rsid w:val="008B18D0"/>
    <w:rsid w:val="008B1C9A"/>
    <w:rsid w:val="008B5493"/>
    <w:rsid w:val="008B63B0"/>
    <w:rsid w:val="008C3D19"/>
    <w:rsid w:val="008C5105"/>
    <w:rsid w:val="008C588D"/>
    <w:rsid w:val="008D03D0"/>
    <w:rsid w:val="008D5D69"/>
    <w:rsid w:val="008E40E0"/>
    <w:rsid w:val="008E6E31"/>
    <w:rsid w:val="008E708B"/>
    <w:rsid w:val="008E77AD"/>
    <w:rsid w:val="008F3B8D"/>
    <w:rsid w:val="008F7E78"/>
    <w:rsid w:val="0090277D"/>
    <w:rsid w:val="009048CE"/>
    <w:rsid w:val="009061AC"/>
    <w:rsid w:val="009079D0"/>
    <w:rsid w:val="00912671"/>
    <w:rsid w:val="0092333B"/>
    <w:rsid w:val="00923D79"/>
    <w:rsid w:val="009240C6"/>
    <w:rsid w:val="00925265"/>
    <w:rsid w:val="0092549B"/>
    <w:rsid w:val="0093045D"/>
    <w:rsid w:val="009307F7"/>
    <w:rsid w:val="00933A8A"/>
    <w:rsid w:val="00936C28"/>
    <w:rsid w:val="00941181"/>
    <w:rsid w:val="009419B5"/>
    <w:rsid w:val="00950C98"/>
    <w:rsid w:val="00952E17"/>
    <w:rsid w:val="009550C8"/>
    <w:rsid w:val="00955A4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4BF0"/>
    <w:rsid w:val="00977805"/>
    <w:rsid w:val="009812D7"/>
    <w:rsid w:val="0099562D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50D"/>
    <w:rsid w:val="009E19A8"/>
    <w:rsid w:val="009E203B"/>
    <w:rsid w:val="009E50C5"/>
    <w:rsid w:val="009F111F"/>
    <w:rsid w:val="009F3267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2B6A"/>
    <w:rsid w:val="00A62E85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2959"/>
    <w:rsid w:val="00AD3F6C"/>
    <w:rsid w:val="00AD6CE1"/>
    <w:rsid w:val="00AE031D"/>
    <w:rsid w:val="00AE0CDB"/>
    <w:rsid w:val="00AE2535"/>
    <w:rsid w:val="00AE2A01"/>
    <w:rsid w:val="00AF282F"/>
    <w:rsid w:val="00AF2DD0"/>
    <w:rsid w:val="00AF4A9F"/>
    <w:rsid w:val="00B003DE"/>
    <w:rsid w:val="00B01D70"/>
    <w:rsid w:val="00B01F0C"/>
    <w:rsid w:val="00B027CB"/>
    <w:rsid w:val="00B02D86"/>
    <w:rsid w:val="00B0429E"/>
    <w:rsid w:val="00B04540"/>
    <w:rsid w:val="00B16B8F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7865"/>
    <w:rsid w:val="00B51278"/>
    <w:rsid w:val="00B53F73"/>
    <w:rsid w:val="00B56D8E"/>
    <w:rsid w:val="00B57F9B"/>
    <w:rsid w:val="00B619BC"/>
    <w:rsid w:val="00B63E86"/>
    <w:rsid w:val="00B6708A"/>
    <w:rsid w:val="00B7099B"/>
    <w:rsid w:val="00B712E4"/>
    <w:rsid w:val="00B75D4D"/>
    <w:rsid w:val="00B75E29"/>
    <w:rsid w:val="00B7600A"/>
    <w:rsid w:val="00B76A7A"/>
    <w:rsid w:val="00B801A3"/>
    <w:rsid w:val="00B8218D"/>
    <w:rsid w:val="00B83066"/>
    <w:rsid w:val="00B83DA1"/>
    <w:rsid w:val="00B840BE"/>
    <w:rsid w:val="00B8491B"/>
    <w:rsid w:val="00B86457"/>
    <w:rsid w:val="00B94163"/>
    <w:rsid w:val="00B94C1F"/>
    <w:rsid w:val="00B95224"/>
    <w:rsid w:val="00B96025"/>
    <w:rsid w:val="00B96E34"/>
    <w:rsid w:val="00BA066B"/>
    <w:rsid w:val="00BA1D94"/>
    <w:rsid w:val="00BA3549"/>
    <w:rsid w:val="00BA5A78"/>
    <w:rsid w:val="00BB4574"/>
    <w:rsid w:val="00BC3171"/>
    <w:rsid w:val="00BC31FC"/>
    <w:rsid w:val="00BC70AB"/>
    <w:rsid w:val="00BD1DCF"/>
    <w:rsid w:val="00BD3DDA"/>
    <w:rsid w:val="00BE1978"/>
    <w:rsid w:val="00BE3069"/>
    <w:rsid w:val="00BE4F58"/>
    <w:rsid w:val="00BE72F6"/>
    <w:rsid w:val="00BF1D08"/>
    <w:rsid w:val="00BF4486"/>
    <w:rsid w:val="00C01ABC"/>
    <w:rsid w:val="00C01F74"/>
    <w:rsid w:val="00C021B4"/>
    <w:rsid w:val="00C07309"/>
    <w:rsid w:val="00C10266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47BC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5E50"/>
    <w:rsid w:val="00CA109F"/>
    <w:rsid w:val="00CA2019"/>
    <w:rsid w:val="00CA31B2"/>
    <w:rsid w:val="00CA5266"/>
    <w:rsid w:val="00CA5397"/>
    <w:rsid w:val="00CA63FD"/>
    <w:rsid w:val="00CB036E"/>
    <w:rsid w:val="00CB44E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488F"/>
    <w:rsid w:val="00D17004"/>
    <w:rsid w:val="00D17E8B"/>
    <w:rsid w:val="00D2031F"/>
    <w:rsid w:val="00D22544"/>
    <w:rsid w:val="00D22B9C"/>
    <w:rsid w:val="00D2495B"/>
    <w:rsid w:val="00D25BD0"/>
    <w:rsid w:val="00D25FB7"/>
    <w:rsid w:val="00D260FF"/>
    <w:rsid w:val="00D35220"/>
    <w:rsid w:val="00D41267"/>
    <w:rsid w:val="00D45332"/>
    <w:rsid w:val="00D51049"/>
    <w:rsid w:val="00D5260D"/>
    <w:rsid w:val="00D547B6"/>
    <w:rsid w:val="00D54D41"/>
    <w:rsid w:val="00D54EBD"/>
    <w:rsid w:val="00D55DB6"/>
    <w:rsid w:val="00D5651B"/>
    <w:rsid w:val="00D56812"/>
    <w:rsid w:val="00D65E82"/>
    <w:rsid w:val="00D66A0F"/>
    <w:rsid w:val="00D70507"/>
    <w:rsid w:val="00D706BC"/>
    <w:rsid w:val="00D8545D"/>
    <w:rsid w:val="00D85BDC"/>
    <w:rsid w:val="00D873ED"/>
    <w:rsid w:val="00D910B1"/>
    <w:rsid w:val="00D91731"/>
    <w:rsid w:val="00D91824"/>
    <w:rsid w:val="00DA32CD"/>
    <w:rsid w:val="00DA3A8D"/>
    <w:rsid w:val="00DA486C"/>
    <w:rsid w:val="00DA539F"/>
    <w:rsid w:val="00DB0407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0C60"/>
    <w:rsid w:val="00DD265F"/>
    <w:rsid w:val="00DD295D"/>
    <w:rsid w:val="00DD6E70"/>
    <w:rsid w:val="00DD7931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3062"/>
    <w:rsid w:val="00E34459"/>
    <w:rsid w:val="00E432CE"/>
    <w:rsid w:val="00E432D5"/>
    <w:rsid w:val="00E506AF"/>
    <w:rsid w:val="00E50B4C"/>
    <w:rsid w:val="00E53763"/>
    <w:rsid w:val="00E54BFD"/>
    <w:rsid w:val="00E6251D"/>
    <w:rsid w:val="00E62C77"/>
    <w:rsid w:val="00E64949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4AB8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05B65"/>
    <w:rsid w:val="00F10101"/>
    <w:rsid w:val="00F10798"/>
    <w:rsid w:val="00F12A5A"/>
    <w:rsid w:val="00F138C7"/>
    <w:rsid w:val="00F14741"/>
    <w:rsid w:val="00F229BF"/>
    <w:rsid w:val="00F22C8C"/>
    <w:rsid w:val="00F2752B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40E6"/>
    <w:rsid w:val="00F70507"/>
    <w:rsid w:val="00F706C1"/>
    <w:rsid w:val="00F76400"/>
    <w:rsid w:val="00F77D72"/>
    <w:rsid w:val="00F82C19"/>
    <w:rsid w:val="00F833D2"/>
    <w:rsid w:val="00F83CD8"/>
    <w:rsid w:val="00F84544"/>
    <w:rsid w:val="00F8716E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1081"/>
    <w:rsid w:val="00FB41E3"/>
    <w:rsid w:val="00FB648E"/>
    <w:rsid w:val="00FC0363"/>
    <w:rsid w:val="00FC0787"/>
    <w:rsid w:val="00FC2D8B"/>
    <w:rsid w:val="00FC7967"/>
    <w:rsid w:val="00FD2613"/>
    <w:rsid w:val="00FD41EC"/>
    <w:rsid w:val="00FD59EB"/>
    <w:rsid w:val="00FD5FFE"/>
    <w:rsid w:val="00FE2D0E"/>
    <w:rsid w:val="00FE4CB7"/>
    <w:rsid w:val="00FE50B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875A8CE-74A1-4CC9-A04A-EB08A36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2A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66B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66B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3328E" w:themeColor="accent2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AFD8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3328E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 w:themeColor="accent1"/>
      </w:pBdr>
      <w:spacing w:before="200" w:after="280"/>
      <w:ind w:left="936" w:right="936"/>
    </w:pPr>
    <w:rPr>
      <w:b/>
      <w:bCs/>
      <w:i/>
      <w:iCs/>
      <w:color w:val="00AFD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AFD8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D8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AFD8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themeColor="accent1" w:shadow="1"/>
        <w:left w:val="single" w:sz="2" w:space="10" w:color="00AFD8" w:themeColor="accent1" w:shadow="1"/>
        <w:bottom w:val="single" w:sz="2" w:space="10" w:color="00AFD8" w:themeColor="accent1" w:shadow="1"/>
        <w:right w:val="single" w:sz="2" w:space="10" w:color="00AFD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FD8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basedOn w:val="Standardstycketeckensnitt"/>
    <w:semiHidden/>
    <w:unhideWhenUsed/>
    <w:rsid w:val="00A7113D"/>
    <w:rPr>
      <w:color w:val="003648" w:themeColor="followedHyperlink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basedOn w:val="Standardstycketeckensnitt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basedOn w:val="Standardstycketeckensnitt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7113D"/>
    <w:rPr>
      <w:rFonts w:ascii="Garamond" w:hAnsi="Garamond"/>
    </w:rPr>
  </w:style>
  <w:style w:type="character" w:customStyle="1" w:styleId="Hashtag">
    <w:name w:val="Hashtag"/>
    <w:basedOn w:val="Standardstycketeckensnitt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basedOn w:val="Standardstycketeckensnitt"/>
    <w:semiHidden/>
    <w:unhideWhenUsed/>
    <w:rsid w:val="00A7113D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7113D"/>
    <w:rPr>
      <w:i/>
      <w:iCs/>
    </w:rPr>
  </w:style>
  <w:style w:type="character" w:styleId="HTML-exempel">
    <w:name w:val="HTML Sample"/>
    <w:basedOn w:val="Standardstycketeckensnitt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7113D"/>
    <w:rPr>
      <w:i/>
      <w:iCs/>
    </w:rPr>
  </w:style>
  <w:style w:type="character" w:styleId="Hyperlnk">
    <w:name w:val="Hyperlink"/>
    <w:basedOn w:val="Standardstycketeckensnitt"/>
    <w:semiHidden/>
    <w:unhideWhenUsed/>
    <w:rsid w:val="00A7113D"/>
    <w:rPr>
      <w:color w:val="005776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basedOn w:val="Standardstycketeckensnitt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711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basedOn w:val="Standardstycketeckensnitt"/>
    <w:link w:val="Rubrik5"/>
    <w:semiHidden/>
    <w:rsid w:val="00A7113D"/>
    <w:rPr>
      <w:rFonts w:asciiTheme="majorHAnsi" w:eastAsiaTheme="majorEastAsia" w:hAnsiTheme="majorHAnsi" w:cstheme="majorBidi"/>
      <w:color w:val="0082A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A7113D"/>
    <w:rPr>
      <w:rFonts w:asciiTheme="majorHAnsi" w:eastAsiaTheme="majorEastAsia" w:hAnsiTheme="majorHAnsi" w:cstheme="majorBidi"/>
      <w:color w:val="00566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A7113D"/>
    <w:rPr>
      <w:rFonts w:asciiTheme="majorHAnsi" w:eastAsiaTheme="majorEastAsia" w:hAnsiTheme="majorHAnsi" w:cstheme="majorBidi"/>
      <w:i/>
      <w:iCs/>
      <w:color w:val="00566B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A71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71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utkommentarsreferens">
    <w:name w:val="endnote reference"/>
    <w:basedOn w:val="Standardstycketeckensnitt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A7113D"/>
    <w:rPr>
      <w:rFonts w:ascii="Garamond" w:hAnsi="Garamond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mallar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90AB5A3A984681AD6D91F99DCAB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CBBD8-0FF3-4AA6-A712-749F93AAD024}"/>
      </w:docPartPr>
      <w:docPartBody>
        <w:p w:rsidR="00364090" w:rsidRDefault="00364090">
          <w:pPr>
            <w:pStyle w:val="EA90AB5A3A984681AD6D91F99DCAB244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25F232A86B0A4B96AF0D258A83D76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6E94B-D879-47AF-B828-E32C026C8FF9}"/>
      </w:docPartPr>
      <w:docPartBody>
        <w:p w:rsidR="00364090" w:rsidRDefault="00364090">
          <w:pPr>
            <w:pStyle w:val="25F232A86B0A4B96AF0D258A83D7669A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7CBBE0F8D1834C658AE32BB6433BD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8E696-18E3-46C1-AFE3-2103327B7FA1}"/>
      </w:docPartPr>
      <w:docPartBody>
        <w:p w:rsidR="00364090" w:rsidRDefault="00364090">
          <w:pPr>
            <w:pStyle w:val="7CBBE0F8D1834C658AE32BB6433BD8EE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011CADC3A5ED4272963A713BE297B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311AB-4D9D-4E78-87D4-DC236F830245}"/>
      </w:docPartPr>
      <w:docPartBody>
        <w:p w:rsidR="00364090" w:rsidRDefault="00364090">
          <w:pPr>
            <w:pStyle w:val="011CADC3A5ED4272963A713BE297BCE2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30768F7EBB834B48B13E6B4327737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5879A-8176-4775-A060-DB9192965714}"/>
      </w:docPartPr>
      <w:docPartBody>
        <w:p w:rsidR="00364090" w:rsidRDefault="00364090">
          <w:pPr>
            <w:pStyle w:val="30768F7EBB834B48B13E6B4327737D42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90"/>
    <w:rsid w:val="000E748B"/>
    <w:rsid w:val="00364090"/>
    <w:rsid w:val="00467B5D"/>
    <w:rsid w:val="00B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A90AB5A3A984681AD6D91F99DCAB244">
    <w:name w:val="EA90AB5A3A984681AD6D91F99DCAB244"/>
  </w:style>
  <w:style w:type="paragraph" w:customStyle="1" w:styleId="25F232A86B0A4B96AF0D258A83D7669A">
    <w:name w:val="25F232A86B0A4B96AF0D258A83D7669A"/>
  </w:style>
  <w:style w:type="paragraph" w:customStyle="1" w:styleId="7CBBE0F8D1834C658AE32BB6433BD8EE">
    <w:name w:val="7CBBE0F8D1834C658AE32BB6433BD8EE"/>
  </w:style>
  <w:style w:type="paragraph" w:customStyle="1" w:styleId="011CADC3A5ED4272963A713BE297BCE2">
    <w:name w:val="011CADC3A5ED4272963A713BE297BCE2"/>
  </w:style>
  <w:style w:type="paragraph" w:customStyle="1" w:styleId="30768F7EBB834B48B13E6B4327737D42">
    <w:name w:val="30768F7EBB834B48B13E6B4327737D42"/>
  </w:style>
  <w:style w:type="paragraph" w:customStyle="1" w:styleId="DA86796357FE456895E86C216D95AA2B">
    <w:name w:val="DA86796357FE456895E86C216D95AA2B"/>
    <w:rsid w:val="00467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orås">
  <a:themeElements>
    <a:clrScheme name="Borås">
      <a:dk1>
        <a:sysClr val="windowText" lastClr="000000"/>
      </a:dk1>
      <a:lt1>
        <a:sysClr val="window" lastClr="FFFFFF"/>
      </a:lt1>
      <a:dk2>
        <a:srgbClr val="4D4F53"/>
      </a:dk2>
      <a:lt2>
        <a:srgbClr val="FFFFFF"/>
      </a:lt2>
      <a:accent1>
        <a:srgbClr val="00AFD8"/>
      </a:accent1>
      <a:accent2>
        <a:srgbClr val="93328E"/>
      </a:accent2>
      <a:accent3>
        <a:srgbClr val="84BD00"/>
      </a:accent3>
      <a:accent4>
        <a:srgbClr val="005776"/>
      </a:accent4>
      <a:accent5>
        <a:srgbClr val="F1BE48"/>
      </a:accent5>
      <a:accent6>
        <a:srgbClr val="4D4F53"/>
      </a:accent6>
      <a:hlink>
        <a:srgbClr val="005776"/>
      </a:hlink>
      <a:folHlink>
        <a:srgbClr val="00364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FD8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orås" id="{6E96AB6D-D0CF-436E-95F4-8FEAD9E21A9B}" vid="{A089B6E7-B0E9-4AE3-9865-E27327B061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2019-06-03T00:00:00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58</TotalTime>
  <Pages>3</Pages>
  <Words>768</Words>
  <Characters>4681</Characters>
  <Application>Microsoft Office Word</Application>
  <DocSecurity>2</DocSecurity>
  <Lines>124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Förslag: Resursfördelningsmodell för ersättning till fristående och kommunala förskolor</vt:lpstr>
    </vt:vector>
  </TitlesOfParts>
  <Company>Borås Stad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Förslag: Resursfördelningsmodell för ersättning till fristående och kommunala förskolor</dc:title>
  <dc:creator>Malin Stomberg</dc:creator>
  <cp:lastModifiedBy>Douglas Torén</cp:lastModifiedBy>
  <cp:revision>15</cp:revision>
  <cp:lastPrinted>2019-05-28T14:36:00Z</cp:lastPrinted>
  <dcterms:created xsi:type="dcterms:W3CDTF">2019-05-27T15:19:00Z</dcterms:created>
  <dcterms:modified xsi:type="dcterms:W3CDTF">2019-06-03T08:50:00Z</dcterms:modified>
</cp:coreProperties>
</file>